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0"/>
        <w:rPr>
          <w:color w:val="auto"/>
        </w:rPr>
      </w:pPr>
      <w:bookmarkStart w:id="87" w:name="_GoBack"/>
      <w:bookmarkEnd w:id="87"/>
      <w:r>
        <w:rPr>
          <w:color w:val="auto"/>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color w:val="auto"/>
        </w:rPr>
        <w:instrText xml:space="preserve">ADDIN CNKISM.UserStyle</w:instrText>
      </w:r>
      <w:r>
        <w:rPr>
          <w:color w:val="auto"/>
        </w:rPr>
        <w:fldChar w:fldCharType="separate"/>
      </w:r>
      <w:r>
        <w:rPr>
          <w:color w:val="auto"/>
        </w:rPr>
        <w:fldChar w:fldCharType="end"/>
      </w:r>
      <w:r>
        <mc:AlternateContent>
          <mc:Choice Requires="wps">
            <w:drawing>
              <wp:anchor distT="0" distB="0" distL="114300" distR="114300" simplePos="0" relativeHeight="251665408" behindDoc="0" locked="0" layoutInCell="1" allowOverlap="1">
                <wp:simplePos x="0" y="0"/>
                <wp:positionH relativeFrom="page">
                  <wp:posOffset>374650</wp:posOffset>
                </wp:positionH>
                <wp:positionV relativeFrom="page">
                  <wp:posOffset>8417560</wp:posOffset>
                </wp:positionV>
                <wp:extent cx="2555875" cy="446405"/>
                <wp:effectExtent l="0" t="0" r="0" b="0"/>
                <wp:wrapNone/>
                <wp:docPr id="36" name="文本框 36"/>
                <wp:cNvGraphicFramePr/>
                <a:graphic xmlns:a="http://schemas.openxmlformats.org/drawingml/2006/main">
                  <a:graphicData uri="http://schemas.microsoft.com/office/word/2010/wordprocessingShape">
                    <wps:wsp>
                      <wps:cNvSpPr txBox="true"/>
                      <wps:spPr>
                        <a:xfrm>
                          <a:off x="0" y="0"/>
                          <a:ext cx="2555875" cy="446405"/>
                        </a:xfrm>
                        <a:prstGeom prst="rect">
                          <a:avLst/>
                        </a:prstGeom>
                        <a:noFill/>
                        <a:ln w="6350">
                          <a:noFill/>
                        </a:ln>
                        <a:effectLst/>
                      </wps:spPr>
                      <wps:txbx>
                        <w:txbxContent>
                          <w:p>
                            <w:pPr>
                              <w:jc w:val="distribute"/>
                              <w:rPr>
                                <w:rFonts w:ascii="宋体" w:hAnsi="宋体" w:cs="宋体"/>
                                <w:b/>
                                <w:bCs/>
                                <w:sz w:val="40"/>
                                <w:szCs w:val="40"/>
                              </w:rPr>
                            </w:pPr>
                            <w:r>
                              <w:rPr>
                                <w:b/>
                                <w:bCs/>
                                <w:sz w:val="40"/>
                                <w:szCs w:val="40"/>
                              </w:rPr>
                              <w:t>202</w:t>
                            </w:r>
                            <w:r>
                              <w:rPr>
                                <w:rFonts w:hint="eastAsia"/>
                                <w:b/>
                                <w:bCs/>
                                <w:sz w:val="40"/>
                                <w:szCs w:val="40"/>
                                <w:lang w:val="en-US" w:eastAsia="zh-CN"/>
                              </w:rPr>
                              <w:t>X</w:t>
                            </w:r>
                            <w:r>
                              <w:rPr>
                                <w:rFonts w:hint="eastAsia" w:ascii="宋体" w:hAnsi="宋体" w:cs="宋体"/>
                                <w:b/>
                                <w:bCs/>
                                <w:spacing w:val="-11"/>
                                <w:sz w:val="40"/>
                                <w:szCs w:val="40"/>
                              </w:rPr>
                              <w:t>-</w:t>
                            </w:r>
                            <w:r>
                              <w:rPr>
                                <w:rFonts w:hint="eastAsia"/>
                                <w:b/>
                                <w:bCs/>
                                <w:sz w:val="40"/>
                                <w:szCs w:val="40"/>
                                <w:lang w:val="en-US" w:eastAsia="zh-CN"/>
                              </w:rPr>
                              <w:t>XX</w:t>
                            </w:r>
                            <w:r>
                              <w:rPr>
                                <w:rFonts w:hint="eastAsia" w:ascii="宋体" w:hAnsi="宋体" w:cs="宋体"/>
                                <w:b/>
                                <w:bCs/>
                                <w:spacing w:val="-11"/>
                                <w:sz w:val="40"/>
                                <w:szCs w:val="40"/>
                              </w:rPr>
                              <w:t>-</w:t>
                            </w:r>
                            <w:r>
                              <w:rPr>
                                <w:rFonts w:hint="eastAsia"/>
                                <w:b/>
                                <w:bCs/>
                                <w:sz w:val="40"/>
                                <w:szCs w:val="40"/>
                                <w:lang w:val="en-US" w:eastAsia="zh-CN"/>
                              </w:rPr>
                              <w:t>XX</w:t>
                            </w:r>
                            <w:r>
                              <w:rPr>
                                <w:rFonts w:hint="eastAsia" w:ascii="宋体" w:hAnsi="宋体" w:cs="宋体"/>
                                <w:b/>
                                <w:bCs/>
                                <w:sz w:val="40"/>
                                <w:szCs w:val="40"/>
                              </w:rPr>
                              <w:t xml:space="preserve"> </w:t>
                            </w:r>
                            <w:r>
                              <w:rPr>
                                <w:rFonts w:hint="eastAsia" w:ascii="黑体" w:hAnsi="黑体" w:eastAsia="黑体" w:cs="黑体"/>
                                <w:b/>
                                <w:bCs/>
                                <w:sz w:val="40"/>
                                <w:szCs w:val="40"/>
                              </w:rPr>
                              <w:t>发布</w:t>
                            </w:r>
                          </w:p>
                        </w:txbxContent>
                      </wps:txbx>
                      <wps:bodyPr rot="0" spcFirstLastPara="0" vertOverflow="clip" horzOverflow="clip"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29.5pt;margin-top:662.8pt;height:35.15pt;width:201.25pt;mso-position-horizontal-relative:page;mso-position-vertical-relative:page;z-index:251665408;mso-width-relative:page;mso-height-relative:page;" filled="f" stroked="f" coordsize="21600,21600" o:gfxdata="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BYAAABkcnMvUEsBAhQAFAAAAAgAh07iQOH/EhncAAAADAEAAA8AAAAAAAAAAQAg&#10;AAAAOAAAAGRycy9kb3ducmV2LnhtbFBLAQIUABQAAAAIAIdO4kB8lYFcLQIAADIEAAAOAAAAAAAA&#10;AAEAIAAAAEEBAABkcnMvZTJvRG9jLnhtbFBLBQYAAAAABgAGAFkBAADgBQAAAAA=&#10;">
                <v:fill on="f" focussize="0,0"/>
                <v:stroke on="f" weight="0.5pt"/>
                <v:imagedata o:title=""/>
                <o:lock v:ext="edit" aspectratio="f"/>
                <v:textbox>
                  <w:txbxContent>
                    <w:p>
                      <w:pPr>
                        <w:jc w:val="distribute"/>
                        <w:rPr>
                          <w:rFonts w:ascii="宋体" w:hAnsi="宋体" w:cs="宋体"/>
                          <w:b/>
                          <w:bCs/>
                          <w:sz w:val="40"/>
                          <w:szCs w:val="40"/>
                        </w:rPr>
                      </w:pPr>
                      <w:r>
                        <w:rPr>
                          <w:b/>
                          <w:bCs/>
                          <w:sz w:val="40"/>
                          <w:szCs w:val="40"/>
                        </w:rPr>
                        <w:t>202</w:t>
                      </w:r>
                      <w:r>
                        <w:rPr>
                          <w:rFonts w:hint="eastAsia"/>
                          <w:b/>
                          <w:bCs/>
                          <w:sz w:val="40"/>
                          <w:szCs w:val="40"/>
                          <w:lang w:val="en-US" w:eastAsia="zh-CN"/>
                        </w:rPr>
                        <w:t>X</w:t>
                      </w:r>
                      <w:r>
                        <w:rPr>
                          <w:rFonts w:hint="eastAsia" w:ascii="宋体" w:hAnsi="宋体" w:cs="宋体"/>
                          <w:b/>
                          <w:bCs/>
                          <w:spacing w:val="-11"/>
                          <w:sz w:val="40"/>
                          <w:szCs w:val="40"/>
                        </w:rPr>
                        <w:t>-</w:t>
                      </w:r>
                      <w:r>
                        <w:rPr>
                          <w:rFonts w:hint="eastAsia"/>
                          <w:b/>
                          <w:bCs/>
                          <w:sz w:val="40"/>
                          <w:szCs w:val="40"/>
                          <w:lang w:val="en-US" w:eastAsia="zh-CN"/>
                        </w:rPr>
                        <w:t>XX</w:t>
                      </w:r>
                      <w:r>
                        <w:rPr>
                          <w:rFonts w:hint="eastAsia" w:ascii="宋体" w:hAnsi="宋体" w:cs="宋体"/>
                          <w:b/>
                          <w:bCs/>
                          <w:spacing w:val="-11"/>
                          <w:sz w:val="40"/>
                          <w:szCs w:val="40"/>
                        </w:rPr>
                        <w:t>-</w:t>
                      </w:r>
                      <w:r>
                        <w:rPr>
                          <w:rFonts w:hint="eastAsia"/>
                          <w:b/>
                          <w:bCs/>
                          <w:sz w:val="40"/>
                          <w:szCs w:val="40"/>
                          <w:lang w:val="en-US" w:eastAsia="zh-CN"/>
                        </w:rPr>
                        <w:t>XX</w:t>
                      </w:r>
                      <w:r>
                        <w:rPr>
                          <w:rFonts w:hint="eastAsia" w:ascii="宋体" w:hAnsi="宋体" w:cs="宋体"/>
                          <w:b/>
                          <w:bCs/>
                          <w:sz w:val="40"/>
                          <w:szCs w:val="40"/>
                        </w:rPr>
                        <w:t xml:space="preserve"> </w:t>
                      </w:r>
                      <w:r>
                        <w:rPr>
                          <w:rFonts w:hint="eastAsia" w:ascii="黑体" w:hAnsi="黑体" w:eastAsia="黑体" w:cs="黑体"/>
                          <w:b/>
                          <w:bCs/>
                          <w:sz w:val="40"/>
                          <w:szCs w:val="40"/>
                        </w:rPr>
                        <w:t>发布</w:t>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page">
                  <wp:posOffset>5288915</wp:posOffset>
                </wp:positionH>
                <wp:positionV relativeFrom="page">
                  <wp:posOffset>648335</wp:posOffset>
                </wp:positionV>
                <wp:extent cx="1979930" cy="1343025"/>
                <wp:effectExtent l="0" t="0" r="0" b="0"/>
                <wp:wrapNone/>
                <wp:docPr id="35" name="文本框 35"/>
                <wp:cNvGraphicFramePr/>
                <a:graphic xmlns:a="http://schemas.openxmlformats.org/drawingml/2006/main">
                  <a:graphicData uri="http://schemas.microsoft.com/office/word/2010/wordprocessingShape">
                    <wps:wsp>
                      <wps:cNvSpPr txBox="true"/>
                      <wps:spPr>
                        <a:xfrm>
                          <a:off x="0" y="0"/>
                          <a:ext cx="1979930" cy="1343025"/>
                        </a:xfrm>
                        <a:prstGeom prst="rect">
                          <a:avLst/>
                        </a:prstGeom>
                        <a:noFill/>
                        <a:ln w="6350">
                          <a:noFill/>
                        </a:ln>
                        <a:effectLst/>
                      </wps:spPr>
                      <wps:txbx>
                        <w:txbxContent>
                          <w:p>
                            <w:pPr>
                              <w:rPr>
                                <w:sz w:val="144"/>
                                <w:szCs w:val="144"/>
                              </w:rPr>
                            </w:pPr>
                            <w:r>
                              <w:rPr>
                                <w:b/>
                                <w:bCs/>
                                <w:sz w:val="144"/>
                                <w:szCs w:val="144"/>
                              </w:rPr>
                              <w:t>SJG</w:t>
                            </w:r>
                          </w:p>
                        </w:txbxContent>
                      </wps:txbx>
                      <wps:bodyPr rot="0" spcFirstLastPara="0" vertOverflow="clip" horzOverflow="clip"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416.45pt;margin-top:51.05pt;height:105.75pt;width:155.9pt;mso-position-horizontal-relative:page;mso-position-vertical-relative:page;z-index:251662336;mso-width-relative:page;mso-height-relative:page;" filled="f" stroked="f" coordsize="21600,21600" o:gfxdata="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WAAAAZHJzL1BLAQIUABQAAAAIAIdO4kCU6lfk3AAAAAwBAAAPAAAAAAAAAAEA&#10;IAAAADgAAABkcnMvZG93bnJldi54bWxQSwECFAAUAAAACACHTuJAlbJesy4CAAAzBAAADgAAAAAA&#10;AAABACAAAABBAQAAZHJzL2Uyb0RvYy54bWxQSwUGAAAAAAYABgBZAQAA4QUAAAAA&#10;">
                <v:fill on="f" focussize="0,0"/>
                <v:stroke on="f" weight="0.5pt"/>
                <v:imagedata o:title=""/>
                <o:lock v:ext="edit" aspectratio="f"/>
                <v:textbox>
                  <w:txbxContent>
                    <w:p>
                      <w:pPr>
                        <w:rPr>
                          <w:sz w:val="144"/>
                          <w:szCs w:val="144"/>
                        </w:rPr>
                      </w:pPr>
                      <w:r>
                        <w:rPr>
                          <w:b/>
                          <w:bCs/>
                          <w:sz w:val="144"/>
                          <w:szCs w:val="144"/>
                        </w:rPr>
                        <w:t>SJG</w:t>
                      </w: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page">
                  <wp:posOffset>4993640</wp:posOffset>
                </wp:positionH>
                <wp:positionV relativeFrom="page">
                  <wp:posOffset>2030730</wp:posOffset>
                </wp:positionV>
                <wp:extent cx="2181860" cy="593725"/>
                <wp:effectExtent l="0" t="0" r="0" b="0"/>
                <wp:wrapNone/>
                <wp:docPr id="34" name="文本框 34"/>
                <wp:cNvGraphicFramePr/>
                <a:graphic xmlns:a="http://schemas.openxmlformats.org/drawingml/2006/main">
                  <a:graphicData uri="http://schemas.microsoft.com/office/word/2010/wordprocessingShape">
                    <wps:wsp>
                      <wps:cNvSpPr txBox="true"/>
                      <wps:spPr>
                        <a:xfrm>
                          <a:off x="0" y="0"/>
                          <a:ext cx="2181860" cy="593725"/>
                        </a:xfrm>
                        <a:prstGeom prst="rect">
                          <a:avLst/>
                        </a:prstGeom>
                        <a:noFill/>
                        <a:ln w="6350">
                          <a:noFill/>
                        </a:ln>
                        <a:effectLst/>
                      </wps:spPr>
                      <wps:txbx>
                        <w:txbxContent>
                          <w:p>
                            <w:pPr>
                              <w:jc w:val="distribute"/>
                              <w:rPr>
                                <w:rFonts w:eastAsia="黑体"/>
                                <w:b/>
                                <w:bCs/>
                                <w:spacing w:val="20"/>
                                <w:sz w:val="48"/>
                                <w:szCs w:val="48"/>
                              </w:rPr>
                            </w:pPr>
                            <w:r>
                              <w:rPr>
                                <w:rFonts w:eastAsia="黑体"/>
                                <w:b/>
                                <w:bCs/>
                                <w:spacing w:val="-11"/>
                                <w:sz w:val="44"/>
                                <w:szCs w:val="44"/>
                              </w:rPr>
                              <w:t xml:space="preserve">SJG </w:t>
                            </w:r>
                            <w:r>
                              <w:rPr>
                                <w:rFonts w:hint="eastAsia" w:eastAsia="黑体"/>
                                <w:b/>
                                <w:bCs/>
                                <w:spacing w:val="-11"/>
                                <w:sz w:val="44"/>
                                <w:szCs w:val="44"/>
                                <w:lang w:val="en-US" w:eastAsia="zh-CN"/>
                              </w:rPr>
                              <w:t>XX</w:t>
                            </w:r>
                            <w:r>
                              <w:rPr>
                                <w:rFonts w:eastAsia="黑体"/>
                                <w:b/>
                                <w:bCs/>
                                <w:spacing w:val="-11"/>
                                <w:sz w:val="44"/>
                                <w:szCs w:val="44"/>
                              </w:rPr>
                              <w:t xml:space="preserve"> </w:t>
                            </w:r>
                            <w:r>
                              <w:rPr>
                                <w:b/>
                                <w:bCs/>
                                <w:spacing w:val="-11"/>
                                <w:sz w:val="44"/>
                                <w:szCs w:val="44"/>
                              </w:rPr>
                              <w:t>–</w:t>
                            </w:r>
                            <w:r>
                              <w:rPr>
                                <w:rFonts w:eastAsia="黑体"/>
                                <w:b/>
                                <w:bCs/>
                                <w:spacing w:val="-11"/>
                                <w:sz w:val="44"/>
                                <w:szCs w:val="44"/>
                              </w:rPr>
                              <w:t xml:space="preserve"> 202</w:t>
                            </w:r>
                            <w:r>
                              <w:rPr>
                                <w:rFonts w:hint="eastAsia" w:eastAsia="黑体"/>
                                <w:b/>
                                <w:bCs/>
                                <w:spacing w:val="-11"/>
                                <w:sz w:val="44"/>
                                <w:szCs w:val="44"/>
                                <w:lang w:val="en-US" w:eastAsia="zh-CN"/>
                              </w:rPr>
                              <w:t>X</w:t>
                            </w:r>
                          </w:p>
                        </w:txbxContent>
                      </wps:txbx>
                      <wps:bodyPr rot="0" spcFirstLastPara="0" vertOverflow="clip" horzOverflow="clip"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393.2pt;margin-top:159.9pt;height:46.75pt;width:171.8pt;mso-position-horizontal-relative:page;mso-position-vertical-relative:page;z-index:251663360;mso-width-relative:page;mso-height-relative:page;" filled="f" stroked="f" coordsize="21600,21600" o:gfxdata="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FgAAAGRycy9QSwECFAAUAAAACACHTuJAz91WKt0AAAAMAQAADwAAAAAAAAABACAA&#10;AAA4AAAAZHJzL2Rvd25yZXYueG1sUEsBAhQAFAAAAAgAh07iQDVKCRMrAgAAMgQAAA4AAAAAAAAA&#10;AQAgAAAAQgEAAGRycy9lMm9Eb2MueG1sUEsFBgAAAAAGAAYAWQEAAN8FAAAAAA==&#10;">
                <v:fill on="f" focussize="0,0"/>
                <v:stroke on="f" weight="0.5pt"/>
                <v:imagedata o:title=""/>
                <o:lock v:ext="edit" aspectratio="f"/>
                <v:textbox>
                  <w:txbxContent>
                    <w:p>
                      <w:pPr>
                        <w:jc w:val="distribute"/>
                        <w:rPr>
                          <w:rFonts w:eastAsia="黑体"/>
                          <w:b/>
                          <w:bCs/>
                          <w:spacing w:val="20"/>
                          <w:sz w:val="48"/>
                          <w:szCs w:val="48"/>
                        </w:rPr>
                      </w:pPr>
                      <w:r>
                        <w:rPr>
                          <w:rFonts w:eastAsia="黑体"/>
                          <w:b/>
                          <w:bCs/>
                          <w:spacing w:val="-11"/>
                          <w:sz w:val="44"/>
                          <w:szCs w:val="44"/>
                        </w:rPr>
                        <w:t xml:space="preserve">SJG </w:t>
                      </w:r>
                      <w:r>
                        <w:rPr>
                          <w:rFonts w:hint="eastAsia" w:eastAsia="黑体"/>
                          <w:b/>
                          <w:bCs/>
                          <w:spacing w:val="-11"/>
                          <w:sz w:val="44"/>
                          <w:szCs w:val="44"/>
                          <w:lang w:val="en-US" w:eastAsia="zh-CN"/>
                        </w:rPr>
                        <w:t>XX</w:t>
                      </w:r>
                      <w:r>
                        <w:rPr>
                          <w:rFonts w:eastAsia="黑体"/>
                          <w:b/>
                          <w:bCs/>
                          <w:spacing w:val="-11"/>
                          <w:sz w:val="44"/>
                          <w:szCs w:val="44"/>
                        </w:rPr>
                        <w:t xml:space="preserve"> </w:t>
                      </w:r>
                      <w:r>
                        <w:rPr>
                          <w:b/>
                          <w:bCs/>
                          <w:spacing w:val="-11"/>
                          <w:sz w:val="44"/>
                          <w:szCs w:val="44"/>
                        </w:rPr>
                        <w:t>–</w:t>
                      </w:r>
                      <w:r>
                        <w:rPr>
                          <w:rFonts w:eastAsia="黑体"/>
                          <w:b/>
                          <w:bCs/>
                          <w:spacing w:val="-11"/>
                          <w:sz w:val="44"/>
                          <w:szCs w:val="44"/>
                        </w:rPr>
                        <w:t xml:space="preserve"> 202</w:t>
                      </w:r>
                      <w:r>
                        <w:rPr>
                          <w:rFonts w:hint="eastAsia" w:eastAsia="黑体"/>
                          <w:b/>
                          <w:bCs/>
                          <w:spacing w:val="-11"/>
                          <w:sz w:val="44"/>
                          <w:szCs w:val="44"/>
                          <w:lang w:val="en-US" w:eastAsia="zh-CN"/>
                        </w:rPr>
                        <w:t>X</w:t>
                      </w:r>
                    </w:p>
                  </w:txbxContent>
                </v:textbox>
              </v:shape>
            </w:pict>
          </mc:Fallback>
        </mc:AlternateContent>
      </w:r>
      <w:r>
        <mc:AlternateContent>
          <mc:Choice Requires="wps">
            <w:drawing>
              <wp:anchor distT="0" distB="0" distL="114300" distR="114300" simplePos="0" relativeHeight="251669504" behindDoc="0" locked="0" layoutInCell="1" allowOverlap="1">
                <wp:simplePos x="0" y="0"/>
                <wp:positionH relativeFrom="page">
                  <wp:posOffset>-93345</wp:posOffset>
                </wp:positionH>
                <wp:positionV relativeFrom="page">
                  <wp:posOffset>2642235</wp:posOffset>
                </wp:positionV>
                <wp:extent cx="7718425" cy="0"/>
                <wp:effectExtent l="0" t="0" r="0" b="0"/>
                <wp:wrapNone/>
                <wp:docPr id="33" name="直接连接符 33"/>
                <wp:cNvGraphicFramePr/>
                <a:graphic xmlns:a="http://schemas.openxmlformats.org/drawingml/2006/main">
                  <a:graphicData uri="http://schemas.microsoft.com/office/word/2010/wordprocessingShape">
                    <wps:wsp>
                      <wps:cNvCnPr/>
                      <wps:spPr>
                        <a:xfrm>
                          <a:off x="0" y="0"/>
                          <a:ext cx="7718425" cy="0"/>
                        </a:xfrm>
                        <a:prstGeom prst="line">
                          <a:avLst/>
                        </a:prstGeom>
                        <a:ln w="19050"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7.35pt;margin-top:208.05pt;height:0pt;width:607.75pt;mso-position-horizontal-relative:page;mso-position-vertical-relative:page;z-index:251669504;mso-width-relative:page;mso-height-relative:page;" filled="f" stroked="t" coordsize="21600,21600" o:gfxdata="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BYAAABkcnMvUEsBAhQAFAAAAAgAh07i&#10;QHUv+YDWAAAADAEAAA8AAAAAAAAAAQAgAAAAOAAAAGRycy9kb3ducmV2LnhtbFBLAQIUABQAAAAI&#10;AIdO4kCbGVun2QEAAJsDAAAOAAAAAAAAAAEAIAAAADsBAABkcnMvZTJvRG9jLnhtbFBLBQYAAAAA&#10;BgAGAFkBAACGBQAAAAA=&#10;">
                <v:fill on="f" focussize="0,0"/>
                <v:stroke weight="1.5pt" color="#000000" joinstyle="round"/>
                <v:imagedata o:title=""/>
                <o:lock v:ext="edit" aspectratio="f"/>
              </v:line>
            </w:pict>
          </mc:Fallback>
        </mc:AlternateContent>
      </w:r>
      <w:r>
        <mc:AlternateContent>
          <mc:Choice Requires="wps">
            <w:drawing>
              <wp:anchor distT="0" distB="0" distL="114300" distR="114300" simplePos="0" relativeHeight="251666432" behindDoc="0" locked="0" layoutInCell="1" allowOverlap="1">
                <wp:simplePos x="0" y="0"/>
                <wp:positionH relativeFrom="page">
                  <wp:posOffset>4561840</wp:posOffset>
                </wp:positionH>
                <wp:positionV relativeFrom="page">
                  <wp:posOffset>8417560</wp:posOffset>
                </wp:positionV>
                <wp:extent cx="2577465" cy="446405"/>
                <wp:effectExtent l="0" t="0" r="0" b="0"/>
                <wp:wrapNone/>
                <wp:docPr id="32" name="文本框 32"/>
                <wp:cNvGraphicFramePr/>
                <a:graphic xmlns:a="http://schemas.openxmlformats.org/drawingml/2006/main">
                  <a:graphicData uri="http://schemas.microsoft.com/office/word/2010/wordprocessingShape">
                    <wps:wsp>
                      <wps:cNvSpPr txBox="true"/>
                      <wps:spPr>
                        <a:xfrm>
                          <a:off x="0" y="0"/>
                          <a:ext cx="2577465" cy="446405"/>
                        </a:xfrm>
                        <a:prstGeom prst="rect">
                          <a:avLst/>
                        </a:prstGeom>
                        <a:noFill/>
                        <a:ln w="6350">
                          <a:noFill/>
                        </a:ln>
                        <a:effectLst/>
                      </wps:spPr>
                      <wps:txbx>
                        <w:txbxContent>
                          <w:p>
                            <w:pPr>
                              <w:jc w:val="distribute"/>
                              <w:rPr>
                                <w:rFonts w:ascii="宋体" w:hAnsi="宋体" w:cs="宋体"/>
                                <w:b/>
                                <w:bCs/>
                                <w:sz w:val="40"/>
                                <w:szCs w:val="40"/>
                              </w:rPr>
                            </w:pPr>
                            <w:r>
                              <w:rPr>
                                <w:b/>
                                <w:bCs/>
                                <w:sz w:val="40"/>
                                <w:szCs w:val="40"/>
                              </w:rPr>
                              <w:t>202</w:t>
                            </w:r>
                            <w:r>
                              <w:rPr>
                                <w:rFonts w:hint="eastAsia"/>
                                <w:b/>
                                <w:bCs/>
                                <w:sz w:val="40"/>
                                <w:szCs w:val="40"/>
                                <w:lang w:val="en-US" w:eastAsia="zh-CN"/>
                              </w:rPr>
                              <w:t>X</w:t>
                            </w:r>
                            <w:r>
                              <w:rPr>
                                <w:rFonts w:hint="eastAsia" w:ascii="宋体" w:hAnsi="宋体" w:cs="宋体"/>
                                <w:b/>
                                <w:bCs/>
                                <w:spacing w:val="-11"/>
                                <w:sz w:val="40"/>
                                <w:szCs w:val="40"/>
                              </w:rPr>
                              <w:t>-</w:t>
                            </w:r>
                            <w:r>
                              <w:rPr>
                                <w:rFonts w:hint="eastAsia"/>
                                <w:b/>
                                <w:bCs/>
                                <w:sz w:val="40"/>
                                <w:szCs w:val="40"/>
                                <w:lang w:val="en-US" w:eastAsia="zh-CN"/>
                              </w:rPr>
                              <w:t>XX</w:t>
                            </w:r>
                            <w:r>
                              <w:rPr>
                                <w:rFonts w:hint="eastAsia" w:ascii="宋体" w:hAnsi="宋体" w:cs="宋体"/>
                                <w:b/>
                                <w:bCs/>
                                <w:spacing w:val="-11"/>
                                <w:sz w:val="40"/>
                                <w:szCs w:val="40"/>
                              </w:rPr>
                              <w:t>-</w:t>
                            </w:r>
                            <w:r>
                              <w:rPr>
                                <w:rFonts w:hint="eastAsia"/>
                                <w:b/>
                                <w:bCs/>
                                <w:sz w:val="40"/>
                                <w:szCs w:val="40"/>
                                <w:lang w:val="en-US" w:eastAsia="zh-CN"/>
                              </w:rPr>
                              <w:t>XX</w:t>
                            </w:r>
                            <w:r>
                              <w:rPr>
                                <w:rFonts w:hint="eastAsia" w:ascii="宋体" w:hAnsi="宋体" w:cs="宋体"/>
                                <w:b/>
                                <w:bCs/>
                                <w:sz w:val="40"/>
                                <w:szCs w:val="40"/>
                              </w:rPr>
                              <w:t xml:space="preserve"> </w:t>
                            </w:r>
                            <w:r>
                              <w:rPr>
                                <w:rFonts w:hint="eastAsia" w:ascii="黑体" w:hAnsi="黑体" w:eastAsia="黑体" w:cs="黑体"/>
                                <w:b/>
                                <w:bCs/>
                                <w:sz w:val="40"/>
                                <w:szCs w:val="40"/>
                              </w:rPr>
                              <w:t>实施</w:t>
                            </w:r>
                          </w:p>
                        </w:txbxContent>
                      </wps:txbx>
                      <wps:bodyPr rot="0" spcFirstLastPara="0" vertOverflow="clip" horzOverflow="clip"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359.2pt;margin-top:662.8pt;height:35.15pt;width:202.95pt;mso-position-horizontal-relative:page;mso-position-vertical-relative:page;z-index:251666432;mso-width-relative:page;mso-height-relative:page;" filled="f" stroked="f" coordsize="21600,21600" o:gfxdata="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WAAAAZHJzL1BLAQIUABQAAAAIAIdO4kAzTUvN3gAAAA4BAAAPAAAAAAAAAAEA&#10;IAAAADgAAABkcnMvZG93bnJldi54bWxQSwECFAAUAAAACACHTuJAenSzkSwCAAAyBAAADgAAAAAA&#10;AAABACAAAABDAQAAZHJzL2Uyb0RvYy54bWxQSwUGAAAAAAYABgBZAQAA4QUAAAAA&#10;">
                <v:fill on="f" focussize="0,0"/>
                <v:stroke on="f" weight="0.5pt"/>
                <v:imagedata o:title=""/>
                <o:lock v:ext="edit" aspectratio="f"/>
                <v:textbox>
                  <w:txbxContent>
                    <w:p>
                      <w:pPr>
                        <w:jc w:val="distribute"/>
                        <w:rPr>
                          <w:rFonts w:ascii="宋体" w:hAnsi="宋体" w:cs="宋体"/>
                          <w:b/>
                          <w:bCs/>
                          <w:sz w:val="40"/>
                          <w:szCs w:val="40"/>
                        </w:rPr>
                      </w:pPr>
                      <w:r>
                        <w:rPr>
                          <w:b/>
                          <w:bCs/>
                          <w:sz w:val="40"/>
                          <w:szCs w:val="40"/>
                        </w:rPr>
                        <w:t>202</w:t>
                      </w:r>
                      <w:r>
                        <w:rPr>
                          <w:rFonts w:hint="eastAsia"/>
                          <w:b/>
                          <w:bCs/>
                          <w:sz w:val="40"/>
                          <w:szCs w:val="40"/>
                          <w:lang w:val="en-US" w:eastAsia="zh-CN"/>
                        </w:rPr>
                        <w:t>X</w:t>
                      </w:r>
                      <w:r>
                        <w:rPr>
                          <w:rFonts w:hint="eastAsia" w:ascii="宋体" w:hAnsi="宋体" w:cs="宋体"/>
                          <w:b/>
                          <w:bCs/>
                          <w:spacing w:val="-11"/>
                          <w:sz w:val="40"/>
                          <w:szCs w:val="40"/>
                        </w:rPr>
                        <w:t>-</w:t>
                      </w:r>
                      <w:r>
                        <w:rPr>
                          <w:rFonts w:hint="eastAsia"/>
                          <w:b/>
                          <w:bCs/>
                          <w:sz w:val="40"/>
                          <w:szCs w:val="40"/>
                          <w:lang w:val="en-US" w:eastAsia="zh-CN"/>
                        </w:rPr>
                        <w:t>XX</w:t>
                      </w:r>
                      <w:r>
                        <w:rPr>
                          <w:rFonts w:hint="eastAsia" w:ascii="宋体" w:hAnsi="宋体" w:cs="宋体"/>
                          <w:b/>
                          <w:bCs/>
                          <w:spacing w:val="-11"/>
                          <w:sz w:val="40"/>
                          <w:szCs w:val="40"/>
                        </w:rPr>
                        <w:t>-</w:t>
                      </w:r>
                      <w:r>
                        <w:rPr>
                          <w:rFonts w:hint="eastAsia"/>
                          <w:b/>
                          <w:bCs/>
                          <w:sz w:val="40"/>
                          <w:szCs w:val="40"/>
                          <w:lang w:val="en-US" w:eastAsia="zh-CN"/>
                        </w:rPr>
                        <w:t>XX</w:t>
                      </w:r>
                      <w:r>
                        <w:rPr>
                          <w:rFonts w:hint="eastAsia" w:ascii="宋体" w:hAnsi="宋体" w:cs="宋体"/>
                          <w:b/>
                          <w:bCs/>
                          <w:sz w:val="40"/>
                          <w:szCs w:val="40"/>
                        </w:rPr>
                        <w:t xml:space="preserve"> </w:t>
                      </w:r>
                      <w:r>
                        <w:rPr>
                          <w:rFonts w:hint="eastAsia" w:ascii="黑体" w:hAnsi="黑体" w:eastAsia="黑体" w:cs="黑体"/>
                          <w:b/>
                          <w:bCs/>
                          <w:sz w:val="40"/>
                          <w:szCs w:val="40"/>
                        </w:rPr>
                        <w:t>实施</w:t>
                      </w:r>
                    </w:p>
                  </w:txbxContent>
                </v:textbox>
              </v:shape>
            </w:pict>
          </mc:Fallback>
        </mc:AlternateContent>
      </w:r>
    </w:p>
    <w:p>
      <w:pPr>
        <w:pStyle w:val="31"/>
        <w:spacing w:line="360" w:lineRule="auto"/>
        <w:jc w:val="center"/>
        <w:rPr>
          <w:rFonts w:hAnsi="黑体" w:cs="黑体"/>
          <w:spacing w:val="20"/>
          <w:sz w:val="32"/>
          <w:szCs w:val="32"/>
        </w:rPr>
      </w:pPr>
      <w:r>
        <mc:AlternateContent>
          <mc:Choice Requires="wps">
            <w:drawing>
              <wp:anchor distT="0" distB="0" distL="114300" distR="114300" simplePos="0" relativeHeight="251664384" behindDoc="0" locked="0" layoutInCell="1" allowOverlap="1">
                <wp:simplePos x="0" y="0"/>
                <wp:positionH relativeFrom="page">
                  <wp:posOffset>1263015</wp:posOffset>
                </wp:positionH>
                <wp:positionV relativeFrom="page">
                  <wp:posOffset>1264920</wp:posOffset>
                </wp:positionV>
                <wp:extent cx="3776980" cy="723900"/>
                <wp:effectExtent l="0" t="0" r="0" b="0"/>
                <wp:wrapNone/>
                <wp:docPr id="31" name="文本框 31"/>
                <wp:cNvGraphicFramePr/>
                <a:graphic xmlns:a="http://schemas.openxmlformats.org/drawingml/2006/main">
                  <a:graphicData uri="http://schemas.microsoft.com/office/word/2010/wordprocessingShape">
                    <wps:wsp>
                      <wps:cNvSpPr txBox="true"/>
                      <wps:spPr>
                        <a:xfrm>
                          <a:off x="0" y="0"/>
                          <a:ext cx="3776980" cy="723900"/>
                        </a:xfrm>
                        <a:prstGeom prst="rect">
                          <a:avLst/>
                        </a:prstGeom>
                        <a:noFill/>
                        <a:ln w="6350">
                          <a:noFill/>
                        </a:ln>
                        <a:effectLst/>
                      </wps:spPr>
                      <wps:txbx>
                        <w:txbxContent>
                          <w:p>
                            <w:pPr>
                              <w:jc w:val="distribute"/>
                              <w:rPr>
                                <w:rFonts w:ascii="黑体" w:hAnsi="黑体" w:eastAsia="黑体" w:cs="黑体"/>
                                <w:b/>
                                <w:bCs/>
                                <w:spacing w:val="20"/>
                                <w:sz w:val="44"/>
                                <w:szCs w:val="44"/>
                              </w:rPr>
                            </w:pPr>
                            <w:r>
                              <w:rPr>
                                <w:rFonts w:hint="eastAsia" w:ascii="黑体" w:hAnsi="黑体" w:eastAsia="黑体" w:cs="黑体"/>
                                <w:b/>
                                <w:bCs/>
                                <w:spacing w:val="20"/>
                                <w:sz w:val="44"/>
                                <w:szCs w:val="44"/>
                              </w:rPr>
                              <w:t>深圳市工程建设地方标准</w:t>
                            </w:r>
                          </w:p>
                        </w:txbxContent>
                      </wps:txbx>
                      <wps:bodyPr rot="0" spcFirstLastPara="0" vertOverflow="clip" horzOverflow="clip"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99.45pt;margin-top:99.6pt;height:57pt;width:297.4pt;mso-position-horizontal-relative:page;mso-position-vertical-relative:page;z-index:251664384;mso-width-relative:page;mso-height-relative:page;" filled="f" stroked="f" coordsize="21600,21600" o:gfxdata="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WAAAAZHJzL1BLAQIUABQAAAAIAIdO4kBTsG0P2wAAAAsBAAAPAAAAAAAAAAEAIAAA&#10;ADgAAABkcnMvZG93bnJldi54bWxQSwECFAAUAAAACACHTuJA9j0RwCwCAAAyBAAADgAAAAAAAAAB&#10;ACAAAABAAQAAZHJzL2Uyb0RvYy54bWxQSwUGAAAAAAYABgBZAQAA3gUAAAAA&#10;">
                <v:fill on="f" focussize="0,0"/>
                <v:stroke on="f" weight="0.5pt"/>
                <v:imagedata o:title=""/>
                <o:lock v:ext="edit" aspectratio="f"/>
                <v:textbox>
                  <w:txbxContent>
                    <w:p>
                      <w:pPr>
                        <w:jc w:val="distribute"/>
                        <w:rPr>
                          <w:rFonts w:ascii="黑体" w:hAnsi="黑体" w:eastAsia="黑体" w:cs="黑体"/>
                          <w:b/>
                          <w:bCs/>
                          <w:spacing w:val="20"/>
                          <w:sz w:val="44"/>
                          <w:szCs w:val="44"/>
                        </w:rPr>
                      </w:pPr>
                      <w:r>
                        <w:rPr>
                          <w:rFonts w:hint="eastAsia" w:ascii="黑体" w:hAnsi="黑体" w:eastAsia="黑体" w:cs="黑体"/>
                          <w:b/>
                          <w:bCs/>
                          <w:spacing w:val="20"/>
                          <w:sz w:val="44"/>
                          <w:szCs w:val="44"/>
                        </w:rPr>
                        <w:t>深圳市工程建设地方标准</w:t>
                      </w:r>
                    </w:p>
                  </w:txbxContent>
                </v:textbox>
              </v:shape>
            </w:pict>
          </mc:Fallback>
        </mc:AlternateContent>
      </w:r>
    </w:p>
    <w:p>
      <w:pPr>
        <w:pStyle w:val="30"/>
        <w:spacing w:after="240" w:line="360" w:lineRule="auto"/>
        <w:ind w:left="480"/>
        <w:jc w:val="right"/>
        <w:rPr>
          <w:rFonts w:eastAsia="黑体"/>
          <w:b/>
          <w:bCs/>
          <w:color w:val="auto"/>
          <w:spacing w:val="-11"/>
          <w:sz w:val="28"/>
          <w:szCs w:val="28"/>
        </w:rPr>
      </w:pPr>
    </w:p>
    <w:p>
      <w:pPr>
        <w:pStyle w:val="30"/>
        <w:spacing w:after="240" w:line="360" w:lineRule="auto"/>
        <w:ind w:left="480"/>
        <w:jc w:val="right"/>
        <w:rPr>
          <w:rFonts w:eastAsia="黑体"/>
          <w:b/>
          <w:bCs/>
          <w:color w:val="auto"/>
          <w:spacing w:val="-11"/>
          <w:sz w:val="28"/>
          <w:szCs w:val="28"/>
        </w:rPr>
      </w:pPr>
    </w:p>
    <w:p>
      <w:pPr>
        <w:pStyle w:val="32"/>
        <w:spacing w:line="360" w:lineRule="auto"/>
        <w:ind w:right="3840"/>
        <w:rPr>
          <w:rFonts w:eastAsia="黑体e眠副浡渀."/>
          <w:sz w:val="96"/>
          <w:szCs w:val="96"/>
        </w:rPr>
      </w:pPr>
    </w:p>
    <w:p>
      <w:pPr>
        <w:pStyle w:val="30"/>
        <w:rPr>
          <w:color w:val="auto"/>
        </w:rPr>
      </w:pPr>
      <w:r>
        <mc:AlternateContent>
          <mc:Choice Requires="wps">
            <w:drawing>
              <wp:anchor distT="0" distB="0" distL="114300" distR="114300" simplePos="0" relativeHeight="251671552" behindDoc="0" locked="0" layoutInCell="1" allowOverlap="1">
                <wp:simplePos x="0" y="0"/>
                <wp:positionH relativeFrom="page">
                  <wp:posOffset>21590</wp:posOffset>
                </wp:positionH>
                <wp:positionV relativeFrom="page">
                  <wp:posOffset>3564890</wp:posOffset>
                </wp:positionV>
                <wp:extent cx="7521575" cy="812165"/>
                <wp:effectExtent l="0" t="0" r="0" b="0"/>
                <wp:wrapNone/>
                <wp:docPr id="30" name="文本框 30"/>
                <wp:cNvGraphicFramePr/>
                <a:graphic xmlns:a="http://schemas.openxmlformats.org/drawingml/2006/main">
                  <a:graphicData uri="http://schemas.microsoft.com/office/word/2010/wordprocessingShape">
                    <wps:wsp>
                      <wps:cNvSpPr txBox="true"/>
                      <wps:spPr>
                        <a:xfrm>
                          <a:off x="0" y="0"/>
                          <a:ext cx="7521575" cy="812165"/>
                        </a:xfrm>
                        <a:prstGeom prst="rect">
                          <a:avLst/>
                        </a:prstGeom>
                        <a:noFill/>
                        <a:ln w="6350">
                          <a:noFill/>
                        </a:ln>
                        <a:effectLst/>
                      </wps:spPr>
                      <wps:txbx>
                        <w:txbxContent>
                          <w:p>
                            <w:pPr>
                              <w:jc w:val="center"/>
                              <w:rPr>
                                <w:rFonts w:hint="eastAsia" w:ascii="宋体" w:hAnsi="宋体" w:eastAsia="宋体" w:cs="宋体"/>
                                <w:b/>
                                <w:bCs/>
                                <w:color w:val="1F2765"/>
                                <w:sz w:val="56"/>
                                <w:szCs w:val="56"/>
                              </w:rPr>
                            </w:pPr>
                            <w:r>
                              <w:rPr>
                                <w:rFonts w:hint="eastAsia" w:ascii="宋体" w:hAnsi="宋体" w:eastAsia="宋体" w:cs="宋体"/>
                                <w:b/>
                                <w:sz w:val="56"/>
                                <w:szCs w:val="56"/>
                              </w:rPr>
                              <w:t>绿色建筑运行检验技术规程</w:t>
                            </w:r>
                          </w:p>
                        </w:txbxContent>
                      </wps:txbx>
                      <wps:bodyPr rot="0" spcFirstLastPara="0" vertOverflow="clip" horzOverflow="clip"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1.7pt;margin-top:280.7pt;height:63.95pt;width:592.25pt;mso-position-horizontal-relative:page;mso-position-vertical-relative:page;z-index:251671552;mso-width-relative:page;mso-height-relative:page;" filled="f" stroked="f" coordsize="21600,21600" o:gfxdata="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FgAAAGRycy9QSwECFAAUAAAACACHTuJAqHoJTNwAAAAKAQAADwAAAAAAAAABACAA&#10;AAA4AAAAZHJzL2Rvd25yZXYueG1sUEsBAhQAFAAAAAgAh07iQCN5AtwsAgAAMgQAAA4AAAAAAAAA&#10;AQAgAAAAQQEAAGRycy9lMm9Eb2MueG1sUEsFBgAAAAAGAAYAWQEAAN8FAAAAAA==&#10;">
                <v:fill on="f" focussize="0,0"/>
                <v:stroke on="f" weight="0.5pt"/>
                <v:imagedata o:title=""/>
                <o:lock v:ext="edit" aspectratio="f"/>
                <v:textbox>
                  <w:txbxContent>
                    <w:p>
                      <w:pPr>
                        <w:jc w:val="center"/>
                        <w:rPr>
                          <w:rFonts w:hint="eastAsia" w:ascii="宋体" w:hAnsi="宋体" w:eastAsia="宋体" w:cs="宋体"/>
                          <w:b/>
                          <w:bCs/>
                          <w:color w:val="1F2765"/>
                          <w:sz w:val="56"/>
                          <w:szCs w:val="56"/>
                        </w:rPr>
                      </w:pPr>
                      <w:r>
                        <w:rPr>
                          <w:rFonts w:hint="eastAsia" w:ascii="宋体" w:hAnsi="宋体" w:eastAsia="宋体" w:cs="宋体"/>
                          <w:b/>
                          <w:sz w:val="56"/>
                          <w:szCs w:val="56"/>
                        </w:rPr>
                        <w:t>绿色建筑运行检验技术规程</w:t>
                      </w:r>
                    </w:p>
                  </w:txbxContent>
                </v:textbox>
              </v:shape>
            </w:pict>
          </mc:Fallback>
        </mc:AlternateContent>
      </w:r>
    </w:p>
    <w:p>
      <w:pPr>
        <w:rPr>
          <w:kern w:val="0"/>
          <w:sz w:val="44"/>
          <w:szCs w:val="44"/>
        </w:rPr>
      </w:pPr>
    </w:p>
    <w:p>
      <w:pPr>
        <w:rPr>
          <w:kern w:val="0"/>
          <w:sz w:val="44"/>
          <w:szCs w:val="44"/>
        </w:rPr>
      </w:pPr>
    </w:p>
    <w:p>
      <w:pPr>
        <w:pStyle w:val="30"/>
        <w:spacing w:line="360" w:lineRule="auto"/>
        <w:ind w:left="480"/>
        <w:rPr>
          <w:color w:val="auto"/>
        </w:rPr>
      </w:pPr>
    </w:p>
    <w:p>
      <w:pPr>
        <w:pStyle w:val="30"/>
        <w:spacing w:line="360" w:lineRule="auto"/>
        <w:ind w:left="480"/>
        <w:jc w:val="center"/>
        <w:rPr>
          <w:rFonts w:hint="eastAsia" w:eastAsia="宋体"/>
          <w:color w:val="auto"/>
          <w:lang w:eastAsia="zh-CN"/>
        </w:rPr>
      </w:pPr>
      <w:r>
        <w:rPr>
          <w:rFonts w:hint="eastAsia"/>
          <w:color w:val="auto"/>
          <w:lang w:eastAsia="zh-CN"/>
        </w:rPr>
        <w:t>（征求意见稿）</w:t>
      </w:r>
    </w:p>
    <w:p>
      <w:pPr>
        <w:pStyle w:val="30"/>
        <w:spacing w:line="360" w:lineRule="auto"/>
        <w:ind w:left="480"/>
        <w:rPr>
          <w:color w:val="auto"/>
        </w:rPr>
      </w:pPr>
    </w:p>
    <w:p>
      <w:pPr>
        <w:pStyle w:val="30"/>
        <w:spacing w:line="360" w:lineRule="auto"/>
        <w:ind w:left="480"/>
        <w:rPr>
          <w:color w:val="auto"/>
        </w:rPr>
      </w:pPr>
    </w:p>
    <w:p>
      <w:pPr>
        <w:pStyle w:val="30"/>
        <w:spacing w:line="360" w:lineRule="auto"/>
        <w:ind w:left="480"/>
        <w:rPr>
          <w:color w:val="auto"/>
        </w:rPr>
      </w:pPr>
    </w:p>
    <w:p>
      <w:pPr>
        <w:pStyle w:val="30"/>
        <w:spacing w:line="360" w:lineRule="auto"/>
        <w:ind w:left="480"/>
        <w:rPr>
          <w:color w:val="auto"/>
        </w:rPr>
      </w:pPr>
    </w:p>
    <w:p>
      <w:pPr>
        <w:pStyle w:val="30"/>
        <w:spacing w:line="360" w:lineRule="auto"/>
        <w:ind w:left="480"/>
        <w:rPr>
          <w:color w:val="auto"/>
        </w:rPr>
      </w:pPr>
    </w:p>
    <w:p>
      <w:pPr>
        <w:pStyle w:val="30"/>
        <w:ind w:left="480"/>
        <w:rPr>
          <w:color w:val="auto"/>
        </w:rPr>
      </w:pPr>
    </w:p>
    <w:p>
      <w:pPr>
        <w:pStyle w:val="30"/>
        <w:ind w:left="480"/>
        <w:rPr>
          <w:color w:val="auto"/>
        </w:rPr>
      </w:pPr>
    </w:p>
    <w:p>
      <w:pPr>
        <w:pStyle w:val="30"/>
        <w:ind w:left="480"/>
        <w:rPr>
          <w:color w:val="auto"/>
        </w:rPr>
      </w:pPr>
    </w:p>
    <w:p>
      <w:pPr>
        <w:pStyle w:val="30"/>
        <w:ind w:left="480"/>
        <w:rPr>
          <w:color w:val="auto"/>
        </w:rPr>
      </w:pPr>
    </w:p>
    <w:p>
      <w:pPr>
        <w:pStyle w:val="30"/>
        <w:ind w:left="480"/>
        <w:rPr>
          <w:color w:val="auto"/>
        </w:rPr>
      </w:pPr>
    </w:p>
    <w:p>
      <w:pPr>
        <w:pStyle w:val="30"/>
        <w:ind w:left="480"/>
        <w:rPr>
          <w:color w:val="auto"/>
        </w:rPr>
      </w:pPr>
    </w:p>
    <w:p>
      <w:pPr>
        <w:pStyle w:val="30"/>
        <w:ind w:left="480"/>
        <w:rPr>
          <w:color w:val="auto"/>
        </w:rPr>
      </w:pPr>
    </w:p>
    <w:p>
      <w:pPr>
        <w:pStyle w:val="30"/>
        <w:spacing w:line="360" w:lineRule="auto"/>
        <w:ind w:left="480"/>
        <w:rPr>
          <w:color w:val="auto"/>
        </w:rPr>
      </w:pPr>
    </w:p>
    <w:p>
      <w:pPr>
        <w:pStyle w:val="30"/>
        <w:spacing w:line="360" w:lineRule="auto"/>
        <w:ind w:left="480"/>
        <w:rPr>
          <w:color w:val="auto"/>
        </w:rPr>
      </w:pPr>
    </w:p>
    <w:p>
      <w:pPr>
        <w:pStyle w:val="30"/>
        <w:spacing w:line="360" w:lineRule="auto"/>
        <w:ind w:left="480"/>
        <w:rPr>
          <w:color w:val="auto"/>
        </w:rPr>
      </w:pPr>
    </w:p>
    <w:p>
      <w:pPr>
        <w:widowControl/>
        <w:rPr>
          <w:rFonts w:ascii="黑体" w:hAnsi="黑体" w:eastAsia="黑体"/>
          <w:b/>
          <w:sz w:val="36"/>
          <w:szCs w:val="28"/>
          <w:highlight w:val="yellow"/>
        </w:rPr>
      </w:pPr>
      <w:r>
        <mc:AlternateContent>
          <mc:Choice Requires="wps">
            <w:drawing>
              <wp:anchor distT="0" distB="0" distL="114300" distR="114300" simplePos="0" relativeHeight="251667456" behindDoc="0" locked="0" layoutInCell="1" allowOverlap="1">
                <wp:simplePos x="0" y="0"/>
                <wp:positionH relativeFrom="page">
                  <wp:posOffset>702310</wp:posOffset>
                </wp:positionH>
                <wp:positionV relativeFrom="page">
                  <wp:posOffset>9681845</wp:posOffset>
                </wp:positionV>
                <wp:extent cx="4993005" cy="608330"/>
                <wp:effectExtent l="0" t="0" r="0" b="0"/>
                <wp:wrapNone/>
                <wp:docPr id="25" name="文本框 25"/>
                <wp:cNvGraphicFramePr/>
                <a:graphic xmlns:a="http://schemas.openxmlformats.org/drawingml/2006/main">
                  <a:graphicData uri="http://schemas.microsoft.com/office/word/2010/wordprocessingShape">
                    <wps:wsp>
                      <wps:cNvSpPr txBox="true"/>
                      <wps:spPr>
                        <a:xfrm>
                          <a:off x="0" y="0"/>
                          <a:ext cx="4993005" cy="608330"/>
                        </a:xfrm>
                        <a:prstGeom prst="rect">
                          <a:avLst/>
                        </a:prstGeom>
                        <a:noFill/>
                        <a:ln w="6350">
                          <a:noFill/>
                        </a:ln>
                        <a:effectLst/>
                      </wps:spPr>
                      <wps:txbx>
                        <w:txbxContent>
                          <w:p>
                            <w:pPr>
                              <w:spacing w:line="276" w:lineRule="auto"/>
                              <w:jc w:val="distribute"/>
                              <w:rPr>
                                <w:rFonts w:ascii="黑体" w:hAnsi="黑体" w:eastAsia="黑体" w:cs="黑体"/>
                                <w:b/>
                                <w:bCs/>
                                <w:sz w:val="40"/>
                                <w:szCs w:val="40"/>
                              </w:rPr>
                            </w:pPr>
                            <w:r>
                              <w:rPr>
                                <w:rFonts w:hint="eastAsia" w:ascii="黑体" w:hAnsi="黑体" w:eastAsia="黑体" w:cs="黑体"/>
                                <w:b/>
                                <w:bCs/>
                                <w:sz w:val="40"/>
                                <w:szCs w:val="40"/>
                              </w:rPr>
                              <w:t>深圳市住房和建设局</w:t>
                            </w:r>
                          </w:p>
                        </w:txbxContent>
                      </wps:txbx>
                      <wps:bodyPr rot="0" spcFirstLastPara="0" vertOverflow="clip" horzOverflow="clip"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55.3pt;margin-top:762.35pt;height:47.9pt;width:393.15pt;mso-position-horizontal-relative:page;mso-position-vertical-relative:page;z-index:251667456;mso-width-relative:page;mso-height-relative:page;" filled="f" stroked="f" coordsize="21600,21600" o:gfxdata="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FgAAAGRycy9QSwECFAAUAAAACACHTuJAq74dqd0AAAANAQAADwAAAAAAAAABACAA&#10;AAA4AAAAZHJzL2Rvd25yZXYueG1sUEsBAhQAFAAAAAgAh07iQEFimTorAgAAMgQAAA4AAAAAAAAA&#10;AQAgAAAAQgEAAGRycy9lMm9Eb2MueG1sUEsFBgAAAAAGAAYAWQEAAN8FAAAAAA==&#10;">
                <v:fill on="f" focussize="0,0"/>
                <v:stroke on="f" weight="0.5pt"/>
                <v:imagedata o:title=""/>
                <o:lock v:ext="edit" aspectratio="f"/>
                <v:textbox>
                  <w:txbxContent>
                    <w:p>
                      <w:pPr>
                        <w:spacing w:line="276" w:lineRule="auto"/>
                        <w:jc w:val="distribute"/>
                        <w:rPr>
                          <w:rFonts w:ascii="黑体" w:hAnsi="黑体" w:eastAsia="黑体" w:cs="黑体"/>
                          <w:b/>
                          <w:bCs/>
                          <w:sz w:val="40"/>
                          <w:szCs w:val="40"/>
                        </w:rPr>
                      </w:pPr>
                      <w:r>
                        <w:rPr>
                          <w:rFonts w:hint="eastAsia" w:ascii="黑体" w:hAnsi="黑体" w:eastAsia="黑体" w:cs="黑体"/>
                          <w:b/>
                          <w:bCs/>
                          <w:sz w:val="40"/>
                          <w:szCs w:val="40"/>
                        </w:rPr>
                        <w:t>深圳市住房和建设局</w:t>
                      </w:r>
                    </w:p>
                  </w:txbxContent>
                </v:textbox>
              </v:shape>
            </w:pict>
          </mc:Fallback>
        </mc:AlternateContent>
      </w:r>
      <w:r>
        <mc:AlternateContent>
          <mc:Choice Requires="wps">
            <w:drawing>
              <wp:anchor distT="45720" distB="45720" distL="114300" distR="114300" simplePos="0" relativeHeight="251668480" behindDoc="0" locked="0" layoutInCell="1" allowOverlap="1">
                <wp:simplePos x="0" y="0"/>
                <wp:positionH relativeFrom="page">
                  <wp:posOffset>6124575</wp:posOffset>
                </wp:positionH>
                <wp:positionV relativeFrom="page">
                  <wp:posOffset>9681845</wp:posOffset>
                </wp:positionV>
                <wp:extent cx="752475" cy="547370"/>
                <wp:effectExtent l="0" t="0" r="0" b="0"/>
                <wp:wrapNone/>
                <wp:docPr id="24" name="文本框 24"/>
                <wp:cNvGraphicFramePr/>
                <a:graphic xmlns:a="http://schemas.openxmlformats.org/drawingml/2006/main">
                  <a:graphicData uri="http://schemas.microsoft.com/office/word/2010/wordprocessingShape">
                    <wps:wsp>
                      <wps:cNvSpPr txBox="true">
                        <a:spLocks noChangeArrowheads="true"/>
                      </wps:cNvSpPr>
                      <wps:spPr bwMode="auto">
                        <a:xfrm>
                          <a:off x="0" y="0"/>
                          <a:ext cx="752475" cy="547370"/>
                        </a:xfrm>
                        <a:prstGeom prst="rect">
                          <a:avLst/>
                        </a:prstGeom>
                        <a:noFill/>
                        <a:ln w="9525">
                          <a:noFill/>
                          <a:miter lim="800000"/>
                        </a:ln>
                      </wps:spPr>
                      <wps:txbx>
                        <w:txbxContent>
                          <w:p>
                            <w:pPr>
                              <w:jc w:val="distribute"/>
                              <w:rPr>
                                <w:b/>
                                <w:bCs/>
                                <w:sz w:val="28"/>
                                <w:szCs w:val="28"/>
                              </w:rPr>
                            </w:pPr>
                            <w:r>
                              <w:rPr>
                                <w:rFonts w:hint="eastAsia" w:ascii="黑体" w:hAnsi="黑体" w:eastAsia="黑体" w:cs="黑体"/>
                                <w:b/>
                                <w:bCs/>
                                <w:sz w:val="40"/>
                                <w:szCs w:val="40"/>
                              </w:rPr>
                              <w:t>发布</w:t>
                            </w:r>
                          </w:p>
                        </w:txbxContent>
                      </wps:txbx>
                      <wps:bodyPr rot="0" vertOverflow="clip" horzOverflow="clip" vert="horz" wrap="square" lIns="91440" tIns="45720" rIns="91440" bIns="45720" anchor="t" anchorCtr="false">
                        <a:noAutofit/>
                      </wps:bodyPr>
                    </wps:wsp>
                  </a:graphicData>
                </a:graphic>
              </wp:anchor>
            </w:drawing>
          </mc:Choice>
          <mc:Fallback>
            <w:pict>
              <v:shape id="_x0000_s1026" o:spid="_x0000_s1026" o:spt="202" type="#_x0000_t202" style="position:absolute;left:0pt;margin-left:482.25pt;margin-top:762.35pt;height:43.1pt;width:59.25pt;mso-position-horizontal-relative:page;mso-position-vertical-relative:page;z-index:251668480;mso-width-relative:page;mso-height-relative:page;" filled="f" stroked="f" coordsize="21600,21600" o:gfxdata="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BYAAABk&#10;cnMvUEsBAhQAFAAAAAgAh07iQLz2Yc3aAAAADgEAAA8AAAAAAAAAAQAgAAAAOAAAAGRycy9kb3du&#10;cmV2LnhtbFBLAQIUABQAAAAIAIdO4kD4SqFKIAIAAA4EAAAOAAAAAAAAAAEAIAAAAD8BAABkcnMv&#10;ZTJvRG9jLnhtbFBLBQYAAAAABgAGAFkBAADRBQAAAAA=&#10;">
                <v:fill on="f" focussize="0,0"/>
                <v:stroke on="f" miterlimit="8" joinstyle="miter"/>
                <v:imagedata o:title=""/>
                <o:lock v:ext="edit" aspectratio="f"/>
                <v:textbox>
                  <w:txbxContent>
                    <w:p>
                      <w:pPr>
                        <w:jc w:val="distribute"/>
                        <w:rPr>
                          <w:b/>
                          <w:bCs/>
                          <w:sz w:val="28"/>
                          <w:szCs w:val="28"/>
                        </w:rPr>
                      </w:pPr>
                      <w:r>
                        <w:rPr>
                          <w:rFonts w:hint="eastAsia" w:ascii="黑体" w:hAnsi="黑体" w:eastAsia="黑体" w:cs="黑体"/>
                          <w:b/>
                          <w:bCs/>
                          <w:sz w:val="40"/>
                          <w:szCs w:val="40"/>
                        </w:rPr>
                        <w:t>发布</w:t>
                      </w:r>
                    </w:p>
                  </w:txbxContent>
                </v:textbox>
              </v:shape>
            </w:pict>
          </mc:Fallback>
        </mc:AlternateContent>
      </w:r>
      <w:r>
        <mc:AlternateContent>
          <mc:Choice Requires="wps">
            <w:drawing>
              <wp:anchor distT="0" distB="0" distL="114300" distR="114300" simplePos="0" relativeHeight="251670528" behindDoc="0" locked="0" layoutInCell="1" allowOverlap="1">
                <wp:simplePos x="0" y="0"/>
                <wp:positionH relativeFrom="page">
                  <wp:posOffset>-86360</wp:posOffset>
                </wp:positionH>
                <wp:positionV relativeFrom="page">
                  <wp:posOffset>9069070</wp:posOffset>
                </wp:positionV>
                <wp:extent cx="7714615" cy="0"/>
                <wp:effectExtent l="0" t="0" r="0" b="0"/>
                <wp:wrapNone/>
                <wp:docPr id="23" name="直接连接符 23"/>
                <wp:cNvGraphicFramePr/>
                <a:graphic xmlns:a="http://schemas.openxmlformats.org/drawingml/2006/main">
                  <a:graphicData uri="http://schemas.microsoft.com/office/word/2010/wordprocessingShape">
                    <wps:wsp>
                      <wps:cNvCnPr/>
                      <wps:spPr>
                        <a:xfrm>
                          <a:off x="0" y="0"/>
                          <a:ext cx="7714615" cy="0"/>
                        </a:xfrm>
                        <a:prstGeom prst="line">
                          <a:avLst/>
                        </a:prstGeom>
                        <a:ln w="19050"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6.8pt;margin-top:714.1pt;height:0pt;width:607.45pt;mso-position-horizontal-relative:page;mso-position-vertical-relative:page;z-index:251670528;mso-width-relative:page;mso-height-relative:page;" filled="f" stroked="t" coordsize="21600,21600" o:gfxdata="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FgAAAGRycy9QSwECFAAUAAAACACHTuJA&#10;cTvnUdcAAAAOAQAADwAAAAAAAAABACAAAAA4AAAAZHJzL2Rvd25yZXYueG1sUEsBAhQAFAAAAAgA&#10;h07iQIovwO/XAQAAmwMAAA4AAAAAAAAAAQAgAAAAPAEAAGRycy9lMm9Eb2MueG1sUEsFBgAAAAAG&#10;AAYAWQEAAIUFAAAAAA==&#10;">
                <v:fill on="f" focussize="0,0"/>
                <v:stroke weight="1.5pt" color="#000000" joinstyle="round"/>
                <v:imagedata o:title=""/>
                <o:lock v:ext="edit" aspectratio="f"/>
              </v:line>
            </w:pict>
          </mc:Fallback>
        </mc:AlternateContent>
      </w:r>
      <w:r>
        <w:rPr>
          <w:rFonts w:eastAsia="黑体"/>
          <w:b/>
          <w:bCs/>
          <w:spacing w:val="-11"/>
          <w:sz w:val="28"/>
          <w:szCs w:val="28"/>
        </w:rPr>
        <w:t xml:space="preserve">  </w:t>
      </w:r>
    </w:p>
    <w:p>
      <w:pPr>
        <w:widowControl/>
        <w:spacing w:line="240" w:lineRule="auto"/>
        <w:rPr>
          <w:rFonts w:ascii="宋体" w:hAnsi="宋体" w:cs="宋体"/>
          <w:sz w:val="28"/>
          <w:szCs w:val="28"/>
        </w:rPr>
      </w:pPr>
    </w:p>
    <w:p>
      <w:pPr>
        <w:rPr>
          <w:rFonts w:ascii="黑体" w:hAnsi="黑体" w:eastAsia="黑体"/>
          <w:b/>
          <w:sz w:val="36"/>
          <w:szCs w:val="36"/>
        </w:rPr>
      </w:pPr>
    </w:p>
    <w:p>
      <w:pPr>
        <w:ind w:right="-42" w:rightChars="-20"/>
        <w:jc w:val="center"/>
        <w:rPr>
          <w:rFonts w:eastAsia="黑体"/>
          <w:sz w:val="32"/>
          <w:szCs w:val="32"/>
        </w:rPr>
      </w:pPr>
      <w:r>
        <w:rPr>
          <w:rFonts w:hint="eastAsia" w:eastAsia="黑体"/>
          <w:sz w:val="32"/>
          <w:szCs w:val="32"/>
        </w:rPr>
        <w:t>深圳市工程建设标准</w:t>
      </w:r>
    </w:p>
    <w:p>
      <w:pPr>
        <w:rPr>
          <w:b/>
          <w:sz w:val="30"/>
          <w:szCs w:val="30"/>
        </w:rPr>
      </w:pPr>
    </w:p>
    <w:p>
      <w:pPr>
        <w:jc w:val="center"/>
        <w:rPr>
          <w:rFonts w:hint="eastAsia" w:ascii="宋体" w:hAnsi="宋体" w:eastAsia="宋体" w:cs="宋体"/>
          <w:b/>
          <w:bCs/>
          <w:color w:val="1F2765"/>
          <w:sz w:val="32"/>
          <w:szCs w:val="32"/>
        </w:rPr>
      </w:pPr>
      <w:r>
        <w:rPr>
          <w:rFonts w:hint="eastAsia" w:ascii="宋体" w:hAnsi="宋体" w:eastAsia="宋体" w:cs="宋体"/>
          <w:b/>
          <w:sz w:val="32"/>
          <w:szCs w:val="32"/>
        </w:rPr>
        <w:t>绿色建筑运行检验技术规程</w:t>
      </w:r>
    </w:p>
    <w:p>
      <w:pPr>
        <w:pStyle w:val="7"/>
        <w:rPr>
          <w:rFonts w:eastAsiaTheme="minorEastAsia"/>
          <w:lang w:eastAsia="zh-CN" w:bidi="ar-SA"/>
        </w:rPr>
      </w:pPr>
    </w:p>
    <w:p>
      <w:pPr>
        <w:tabs>
          <w:tab w:val="left" w:pos="3780"/>
        </w:tabs>
        <w:spacing w:after="240"/>
        <w:jc w:val="center"/>
        <w:rPr>
          <w:bCs/>
          <w:color w:val="000000"/>
          <w:sz w:val="32"/>
          <w:szCs w:val="32"/>
        </w:rPr>
      </w:pPr>
      <w:r>
        <w:rPr>
          <w:rFonts w:hint="eastAsia"/>
          <w:b/>
          <w:sz w:val="28"/>
          <w:szCs w:val="28"/>
        </w:rPr>
        <w:t xml:space="preserve">SJG </w:t>
      </w:r>
      <w:r>
        <w:rPr>
          <w:rFonts w:hint="eastAsia"/>
          <w:b/>
          <w:sz w:val="28"/>
          <w:szCs w:val="28"/>
          <w:lang w:val="en-US" w:eastAsia="zh-CN"/>
        </w:rPr>
        <w:t>XX</w:t>
      </w:r>
      <w:r>
        <w:rPr>
          <w:b/>
          <w:sz w:val="28"/>
          <w:szCs w:val="28"/>
        </w:rPr>
        <w:t xml:space="preserve"> </w:t>
      </w:r>
      <w:r>
        <w:rPr>
          <w:rFonts w:hint="eastAsia" w:ascii="宋体" w:hAnsi="宋体"/>
          <w:b/>
          <w:sz w:val="28"/>
          <w:szCs w:val="28"/>
        </w:rPr>
        <w:t>-</w:t>
      </w:r>
      <w:r>
        <w:rPr>
          <w:rFonts w:hint="eastAsia"/>
          <w:b/>
          <w:sz w:val="28"/>
          <w:szCs w:val="28"/>
        </w:rPr>
        <w:t xml:space="preserve"> 202</w:t>
      </w:r>
      <w:r>
        <w:rPr>
          <w:rFonts w:hint="eastAsia"/>
          <w:b/>
          <w:sz w:val="28"/>
          <w:szCs w:val="28"/>
          <w:lang w:val="en-US" w:eastAsia="zh-CN"/>
        </w:rPr>
        <w:t>X</w:t>
      </w:r>
    </w:p>
    <w:p>
      <w:pPr>
        <w:ind w:firstLine="2418" w:firstLineChars="803"/>
        <w:rPr>
          <w:b/>
          <w:sz w:val="30"/>
          <w:szCs w:val="30"/>
        </w:rPr>
      </w:pPr>
    </w:p>
    <w:p>
      <w:pPr>
        <w:pStyle w:val="7"/>
      </w:pPr>
    </w:p>
    <w:p>
      <w:pPr>
        <w:ind w:firstLine="2418" w:firstLineChars="803"/>
        <w:rPr>
          <w:b/>
          <w:sz w:val="30"/>
          <w:szCs w:val="30"/>
        </w:rPr>
      </w:pPr>
    </w:p>
    <w:p>
      <w:pPr>
        <w:ind w:firstLine="2418" w:firstLineChars="803"/>
        <w:rPr>
          <w:b/>
          <w:sz w:val="30"/>
          <w:szCs w:val="30"/>
        </w:rPr>
      </w:pPr>
    </w:p>
    <w:p>
      <w:pPr>
        <w:ind w:firstLine="2418" w:firstLineChars="803"/>
        <w:rPr>
          <w:b/>
          <w:sz w:val="30"/>
          <w:szCs w:val="30"/>
        </w:rPr>
      </w:pPr>
    </w:p>
    <w:p>
      <w:pPr>
        <w:ind w:firstLine="2418" w:firstLineChars="803"/>
        <w:rPr>
          <w:b/>
          <w:sz w:val="30"/>
          <w:szCs w:val="30"/>
        </w:rPr>
      </w:pPr>
    </w:p>
    <w:p>
      <w:pPr>
        <w:ind w:firstLine="2418" w:firstLineChars="803"/>
        <w:rPr>
          <w:b/>
          <w:sz w:val="30"/>
          <w:szCs w:val="30"/>
        </w:rPr>
      </w:pPr>
    </w:p>
    <w:p>
      <w:pPr>
        <w:rPr>
          <w:b/>
          <w:sz w:val="30"/>
          <w:szCs w:val="30"/>
        </w:rPr>
      </w:pPr>
    </w:p>
    <w:p>
      <w:pPr>
        <w:rPr>
          <w:b/>
          <w:sz w:val="30"/>
          <w:szCs w:val="30"/>
        </w:rPr>
      </w:pPr>
    </w:p>
    <w:p>
      <w:pPr>
        <w:pStyle w:val="7"/>
        <w:rPr>
          <w:rFonts w:eastAsiaTheme="minorEastAsia"/>
          <w:lang w:eastAsia="zh-CN" w:bidi="ar-SA"/>
        </w:rPr>
      </w:pPr>
    </w:p>
    <w:p>
      <w:pPr>
        <w:pStyle w:val="7"/>
        <w:rPr>
          <w:rFonts w:eastAsiaTheme="minorEastAsia"/>
          <w:lang w:eastAsia="zh-CN" w:bidi="ar-SA"/>
        </w:rPr>
      </w:pPr>
    </w:p>
    <w:p>
      <w:pPr>
        <w:widowControl/>
        <w:jc w:val="center"/>
        <w:sectPr>
          <w:footerReference r:id="rId7" w:type="first"/>
          <w:footerReference r:id="rId5" w:type="default"/>
          <w:footerReference r:id="rId6" w:type="even"/>
          <w:pgSz w:w="11906" w:h="16838"/>
          <w:pgMar w:top="1610" w:right="1349" w:bottom="1213" w:left="1293" w:header="851" w:footer="992" w:gutter="0"/>
          <w:pgBorders>
            <w:top w:val="none" w:sz="0" w:space="0"/>
            <w:left w:val="none" w:sz="0" w:space="0"/>
            <w:bottom w:val="none" w:sz="0" w:space="0"/>
            <w:right w:val="none" w:sz="0" w:space="0"/>
          </w:pgBorders>
          <w:pgNumType w:fmt="decimal" w:start="1"/>
          <w:cols w:space="720" w:num="1"/>
          <w:titlePg/>
          <w:docGrid w:type="lines" w:linePitch="326" w:charSpace="-3979"/>
        </w:sectPr>
      </w:pPr>
      <w:r>
        <w:rPr>
          <w:rFonts w:hint="eastAsia"/>
        </w:rPr>
        <w:t xml:space="preserve"> </w:t>
      </w:r>
      <w:r>
        <w:rPr>
          <w:rFonts w:eastAsia="黑体"/>
          <w:kern w:val="0"/>
          <w:sz w:val="30"/>
          <w:szCs w:val="30"/>
        </w:rPr>
        <w:t>202</w:t>
      </w:r>
      <w:r>
        <w:rPr>
          <w:rFonts w:hint="eastAsia" w:eastAsia="黑体"/>
          <w:sz w:val="30"/>
          <w:szCs w:val="30"/>
          <w:lang w:val="en-US" w:eastAsia="zh-CN"/>
        </w:rPr>
        <w:t>X</w:t>
      </w:r>
      <w:r>
        <w:rPr>
          <w:rFonts w:ascii="黑体" w:hAnsi="黑体" w:eastAsia="黑体"/>
          <w:kern w:val="0"/>
          <w:sz w:val="30"/>
          <w:szCs w:val="30"/>
        </w:rPr>
        <w:t xml:space="preserve"> </w:t>
      </w:r>
      <w:r>
        <w:rPr>
          <w:rFonts w:hint="eastAsia" w:ascii="黑体" w:hAnsi="黑体" w:eastAsia="黑体"/>
          <w:spacing w:val="183"/>
          <w:kern w:val="0"/>
          <w:sz w:val="30"/>
          <w:szCs w:val="30"/>
          <w:fitText w:val="966" w:id="1637855180"/>
        </w:rPr>
        <w:t>深</w:t>
      </w:r>
      <w:r>
        <w:rPr>
          <w:rFonts w:hint="eastAsia" w:ascii="黑体" w:hAnsi="黑体" w:eastAsia="黑体"/>
          <w:spacing w:val="0"/>
          <w:kern w:val="0"/>
          <w:sz w:val="30"/>
          <w:szCs w:val="30"/>
          <w:fitText w:val="966" w:id="1637855180"/>
        </w:rPr>
        <w:t>圳</w:t>
      </w:r>
    </w:p>
    <w:p>
      <w:pPr>
        <w:widowControl w:val="0"/>
        <w:spacing w:before="312" w:beforeLines="100" w:after="312" w:afterLines="100" w:line="360" w:lineRule="auto"/>
        <w:jc w:val="center"/>
        <w:outlineLvl w:val="0"/>
        <w:rPr>
          <w:rFonts w:ascii="Times New Roman" w:hAnsi="Times New Roman" w:eastAsia="宋体" w:cs="Times New Roman"/>
          <w:b/>
          <w:bCs/>
          <w:kern w:val="2"/>
          <w:sz w:val="30"/>
          <w:szCs w:val="30"/>
          <w:lang w:val="en-US" w:eastAsia="zh-CN" w:bidi="ar-SA"/>
        </w:rPr>
      </w:pPr>
      <w:bookmarkStart w:id="0" w:name="_Toc9937199"/>
      <w:bookmarkStart w:id="1" w:name="_Toc204157111"/>
      <w:bookmarkStart w:id="2" w:name="_Toc204157408"/>
      <w:r>
        <w:rPr>
          <w:rFonts w:ascii="Times New Roman" w:hAnsi="Times New Roman" w:eastAsia="宋体" w:cs="Times New Roman"/>
          <w:b/>
          <w:bCs/>
          <w:kern w:val="2"/>
          <w:sz w:val="30"/>
          <w:szCs w:val="30"/>
          <w:lang w:val="en-US" w:eastAsia="zh-CN" w:bidi="ar-SA"/>
        </w:rPr>
        <w:t>前  言</w:t>
      </w:r>
      <w:bookmarkEnd w:id="0"/>
      <w:bookmarkEnd w:id="1"/>
      <w:bookmarkEnd w:id="2"/>
    </w:p>
    <w:p>
      <w:pPr>
        <w:spacing w:line="360" w:lineRule="auto"/>
        <w:ind w:firstLine="420" w:firstLineChars="200"/>
        <w:jc w:val="both"/>
        <w:rPr>
          <w:rFonts w:ascii="Times New Roman" w:hAnsi="Times New Roman" w:cs="Times New Roman"/>
          <w:sz w:val="21"/>
          <w:szCs w:val="21"/>
        </w:rPr>
      </w:pPr>
      <w:bookmarkStart w:id="3" w:name="_Hlk204158438"/>
      <w:r>
        <w:rPr>
          <w:rFonts w:hint="eastAsia"/>
          <w:sz w:val="21"/>
          <w:szCs w:val="21"/>
        </w:rPr>
        <w:t>根据《深圳市住房和建设局关于发布〈202</w:t>
      </w:r>
      <w:r>
        <w:rPr>
          <w:rFonts w:hint="eastAsia"/>
          <w:sz w:val="21"/>
          <w:szCs w:val="21"/>
          <w:lang w:val="en-US" w:eastAsia="zh-CN"/>
        </w:rPr>
        <w:t>4</w:t>
      </w:r>
      <w:r>
        <w:rPr>
          <w:rFonts w:hint="eastAsia"/>
          <w:sz w:val="21"/>
          <w:szCs w:val="21"/>
        </w:rPr>
        <w:t>年度深圳市工程建设地方标准制修订计划项目（第二批）〉的通知》的要求</w:t>
      </w:r>
      <w:r>
        <w:rPr>
          <w:rFonts w:ascii="Times New Roman" w:hAnsi="Times New Roman" w:cs="Times New Roman"/>
          <w:sz w:val="21"/>
          <w:szCs w:val="21"/>
        </w:rPr>
        <w:t>，编制组经广泛调查研究，认真总结实践经验，</w:t>
      </w:r>
      <w:r>
        <w:rPr>
          <w:rFonts w:hint="eastAsia" w:cs="等线"/>
        </w:rPr>
        <w:t>结合深圳市的实际，</w:t>
      </w:r>
      <w:r>
        <w:rPr>
          <w:rFonts w:ascii="Times New Roman" w:hAnsi="Times New Roman" w:cs="Times New Roman"/>
          <w:sz w:val="21"/>
          <w:szCs w:val="21"/>
        </w:rPr>
        <w:t>并在广泛征求意见的基础上，编制了本规程。</w:t>
      </w:r>
    </w:p>
    <w:p>
      <w:pPr>
        <w:keepNext w:val="0"/>
        <w:keepLines w:val="0"/>
        <w:pageBreakBefore w:val="0"/>
        <w:widowControl w:val="0"/>
        <w:kinsoku/>
        <w:wordWrap/>
        <w:overflowPunct/>
        <w:topLinePunct w:val="0"/>
        <w:autoSpaceDE/>
        <w:autoSpaceDN/>
        <w:bidi w:val="0"/>
        <w:adjustRightInd/>
        <w:snapToGrid w:val="0"/>
        <w:spacing w:before="0" w:after="0" w:line="360" w:lineRule="auto"/>
        <w:ind w:firstLine="420" w:firstLineChars="200"/>
        <w:jc w:val="both"/>
        <w:textAlignment w:val="auto"/>
        <w:outlineLvl w:val="9"/>
        <w:rPr>
          <w:rFonts w:ascii="Times New Roman" w:hAnsi="Times New Roman" w:eastAsia="宋体" w:cs="Times New Roman"/>
          <w:b w:val="0"/>
          <w:bCs w:val="0"/>
          <w:kern w:val="2"/>
          <w:sz w:val="21"/>
          <w:szCs w:val="21"/>
          <w:lang w:val="en-US" w:eastAsia="zh-CN" w:bidi="ar-SA"/>
        </w:rPr>
      </w:pPr>
      <w:r>
        <w:rPr>
          <w:rFonts w:ascii="Times New Roman" w:hAnsi="Times New Roman" w:eastAsia="宋体" w:cs="Times New Roman"/>
          <w:b w:val="0"/>
          <w:bCs w:val="0"/>
          <w:kern w:val="2"/>
          <w:sz w:val="21"/>
          <w:szCs w:val="21"/>
          <w:lang w:val="en-US" w:eastAsia="zh-CN" w:bidi="ar-SA"/>
        </w:rPr>
        <w:t>本规程的主要内容是：</w:t>
      </w:r>
      <w:r>
        <w:rPr>
          <w:rFonts w:hint="eastAsia" w:ascii="Times New Roman" w:hAnsi="Times New Roman" w:eastAsia="宋体" w:cs="Times New Roman"/>
          <w:b w:val="0"/>
          <w:bCs w:val="0"/>
          <w:kern w:val="2"/>
          <w:sz w:val="21"/>
          <w:szCs w:val="21"/>
          <w:lang w:val="en-US" w:eastAsia="zh-CN" w:bidi="ar-SA"/>
        </w:rPr>
        <w:t>1.</w:t>
      </w:r>
      <w:r>
        <w:rPr>
          <w:rFonts w:ascii="Times New Roman" w:hAnsi="Times New Roman" w:eastAsia="宋体" w:cs="Times New Roman"/>
          <w:b w:val="0"/>
          <w:bCs w:val="0"/>
          <w:kern w:val="2"/>
          <w:sz w:val="21"/>
          <w:szCs w:val="21"/>
          <w:lang w:val="en-US" w:eastAsia="zh-CN" w:bidi="ar-SA"/>
        </w:rPr>
        <w:t>总则</w:t>
      </w:r>
      <w:r>
        <w:rPr>
          <w:rFonts w:hint="eastAsia" w:ascii="Times New Roman" w:hAnsi="Times New Roman" w:eastAsia="宋体" w:cs="Times New Roman"/>
          <w:b w:val="0"/>
          <w:bCs w:val="0"/>
          <w:kern w:val="2"/>
          <w:sz w:val="21"/>
          <w:szCs w:val="21"/>
          <w:lang w:val="en-US" w:eastAsia="zh-CN" w:bidi="ar-SA"/>
        </w:rPr>
        <w:t>；2.</w:t>
      </w:r>
      <w:r>
        <w:rPr>
          <w:rFonts w:ascii="Times New Roman" w:hAnsi="Times New Roman" w:eastAsia="宋体" w:cs="Times New Roman"/>
          <w:b w:val="0"/>
          <w:bCs w:val="0"/>
          <w:kern w:val="2"/>
          <w:sz w:val="21"/>
          <w:szCs w:val="21"/>
          <w:lang w:val="en-US" w:eastAsia="zh-CN" w:bidi="ar-SA"/>
        </w:rPr>
        <w:t>术语</w:t>
      </w:r>
      <w:r>
        <w:rPr>
          <w:rFonts w:hint="eastAsia" w:ascii="Times New Roman" w:hAnsi="Times New Roman" w:eastAsia="宋体" w:cs="Times New Roman"/>
          <w:b w:val="0"/>
          <w:bCs w:val="0"/>
          <w:kern w:val="2"/>
          <w:sz w:val="21"/>
          <w:szCs w:val="21"/>
          <w:lang w:val="en-US" w:eastAsia="zh-CN" w:bidi="ar-SA"/>
        </w:rPr>
        <w:t>；3.</w:t>
      </w:r>
      <w:r>
        <w:rPr>
          <w:rFonts w:ascii="Times New Roman" w:hAnsi="Times New Roman" w:eastAsia="宋体" w:cs="Times New Roman"/>
          <w:b w:val="0"/>
          <w:bCs w:val="0"/>
          <w:kern w:val="2"/>
          <w:sz w:val="21"/>
          <w:szCs w:val="21"/>
          <w:lang w:val="en-US" w:eastAsia="zh-CN" w:bidi="ar-SA"/>
        </w:rPr>
        <w:t>基本规定</w:t>
      </w:r>
      <w:r>
        <w:rPr>
          <w:rFonts w:hint="eastAsia" w:ascii="Times New Roman" w:hAnsi="Times New Roman" w:eastAsia="宋体" w:cs="Times New Roman"/>
          <w:b w:val="0"/>
          <w:bCs w:val="0"/>
          <w:kern w:val="2"/>
          <w:sz w:val="21"/>
          <w:szCs w:val="21"/>
          <w:lang w:val="en-US" w:eastAsia="zh-CN" w:bidi="ar-SA"/>
        </w:rPr>
        <w:t>；4.</w:t>
      </w:r>
      <w:r>
        <w:rPr>
          <w:rFonts w:ascii="Times New Roman" w:hAnsi="Times New Roman" w:eastAsia="宋体" w:cs="Times New Roman"/>
          <w:b w:val="0"/>
          <w:bCs/>
          <w:kern w:val="2"/>
          <w:sz w:val="21"/>
          <w:szCs w:val="21"/>
          <w:lang w:val="en-US" w:eastAsia="zh-CN" w:bidi="ar-SA"/>
        </w:rPr>
        <w:t>安全耐久</w:t>
      </w:r>
      <w:r>
        <w:rPr>
          <w:rFonts w:hint="eastAsia" w:ascii="Times New Roman" w:hAnsi="Times New Roman" w:eastAsia="宋体" w:cs="Times New Roman"/>
          <w:b w:val="0"/>
          <w:bCs/>
          <w:kern w:val="2"/>
          <w:sz w:val="21"/>
          <w:szCs w:val="21"/>
          <w:lang w:val="en-US" w:eastAsia="zh-CN" w:bidi="ar-SA"/>
        </w:rPr>
        <w:t>；5.</w:t>
      </w:r>
      <w:r>
        <w:rPr>
          <w:rFonts w:ascii="Times New Roman" w:hAnsi="Times New Roman" w:eastAsia="宋体" w:cs="Times New Roman"/>
          <w:b w:val="0"/>
          <w:bCs/>
          <w:kern w:val="2"/>
          <w:sz w:val="21"/>
          <w:szCs w:val="21"/>
          <w:lang w:val="en-US" w:eastAsia="zh-CN" w:bidi="ar-SA"/>
        </w:rPr>
        <w:t>健康舒适</w:t>
      </w:r>
      <w:r>
        <w:rPr>
          <w:rFonts w:hint="eastAsia" w:ascii="Times New Roman" w:hAnsi="Times New Roman" w:eastAsia="宋体" w:cs="Times New Roman"/>
          <w:b w:val="0"/>
          <w:bCs/>
          <w:kern w:val="2"/>
          <w:sz w:val="21"/>
          <w:szCs w:val="21"/>
          <w:lang w:val="en-US" w:eastAsia="zh-CN" w:bidi="ar-SA"/>
        </w:rPr>
        <w:t>；6.</w:t>
      </w:r>
      <w:r>
        <w:rPr>
          <w:rFonts w:ascii="Times New Roman" w:hAnsi="Times New Roman" w:eastAsia="宋体" w:cs="Times New Roman"/>
          <w:b w:val="0"/>
          <w:bCs/>
          <w:kern w:val="2"/>
          <w:sz w:val="21"/>
          <w:szCs w:val="21"/>
          <w:lang w:val="en-US" w:eastAsia="zh-CN" w:bidi="ar-SA"/>
        </w:rPr>
        <w:t>生活便利</w:t>
      </w:r>
      <w:r>
        <w:rPr>
          <w:rFonts w:hint="eastAsia" w:ascii="Times New Roman" w:hAnsi="Times New Roman" w:eastAsia="宋体" w:cs="Times New Roman"/>
          <w:b w:val="0"/>
          <w:bCs/>
          <w:kern w:val="2"/>
          <w:sz w:val="21"/>
          <w:szCs w:val="21"/>
          <w:lang w:val="en-US" w:eastAsia="zh-CN" w:bidi="ar-SA"/>
        </w:rPr>
        <w:t>；7.</w:t>
      </w:r>
      <w:r>
        <w:rPr>
          <w:rFonts w:ascii="Times New Roman" w:hAnsi="Times New Roman" w:eastAsia="宋体" w:cs="Times New Roman"/>
          <w:b w:val="0"/>
          <w:bCs/>
          <w:kern w:val="2"/>
          <w:sz w:val="21"/>
          <w:szCs w:val="21"/>
          <w:lang w:val="en-US" w:eastAsia="zh-CN" w:bidi="ar-SA"/>
        </w:rPr>
        <w:t>资源节约</w:t>
      </w:r>
      <w:r>
        <w:rPr>
          <w:rFonts w:hint="eastAsia" w:ascii="Times New Roman" w:hAnsi="Times New Roman" w:eastAsia="宋体" w:cs="Times New Roman"/>
          <w:b w:val="0"/>
          <w:bCs/>
          <w:kern w:val="2"/>
          <w:sz w:val="21"/>
          <w:szCs w:val="21"/>
          <w:lang w:val="en-US" w:eastAsia="zh-CN" w:bidi="ar-SA"/>
        </w:rPr>
        <w:t>；8.</w:t>
      </w:r>
      <w:r>
        <w:rPr>
          <w:rFonts w:ascii="Times New Roman" w:hAnsi="Times New Roman" w:eastAsia="宋体" w:cs="Times New Roman"/>
          <w:b w:val="0"/>
          <w:bCs/>
          <w:kern w:val="2"/>
          <w:sz w:val="21"/>
          <w:szCs w:val="21"/>
          <w:lang w:val="en-US" w:eastAsia="zh-CN" w:bidi="ar-SA"/>
        </w:rPr>
        <w:t>环境宜居</w:t>
      </w:r>
      <w:r>
        <w:rPr>
          <w:rFonts w:hint="eastAsia" w:cs="Times New Roman"/>
          <w:b w:val="0"/>
          <w:bCs/>
          <w:kern w:val="2"/>
          <w:sz w:val="21"/>
          <w:szCs w:val="21"/>
          <w:lang w:val="en-US" w:eastAsia="zh-CN" w:bidi="ar-SA"/>
        </w:rPr>
        <w:t>；9.</w:t>
      </w:r>
      <w:r>
        <w:rPr>
          <w:rFonts w:ascii="Times New Roman" w:hAnsi="Times New Roman" w:eastAsia="宋体" w:cs="Times New Roman"/>
          <w:b w:val="0"/>
          <w:bCs/>
          <w:kern w:val="2"/>
          <w:sz w:val="21"/>
          <w:szCs w:val="21"/>
          <w:lang w:val="en-US" w:eastAsia="zh-CN" w:bidi="ar-SA"/>
        </w:rPr>
        <w:t>提高与创新</w:t>
      </w:r>
      <w:r>
        <w:rPr>
          <w:rFonts w:ascii="Times New Roman" w:hAnsi="Times New Roman" w:eastAsia="宋体" w:cs="Times New Roman"/>
          <w:b w:val="0"/>
          <w:bCs w:val="0"/>
          <w:kern w:val="2"/>
          <w:sz w:val="21"/>
          <w:szCs w:val="21"/>
          <w:lang w:val="en-US" w:eastAsia="zh-CN" w:bidi="ar-SA"/>
        </w:rPr>
        <w:t>。</w:t>
      </w:r>
      <w:bookmarkEnd w:id="3"/>
    </w:p>
    <w:p>
      <w:pPr>
        <w:keepNext w:val="0"/>
        <w:keepLines w:val="0"/>
        <w:pageBreakBefore w:val="0"/>
        <w:widowControl w:val="0"/>
        <w:kinsoku/>
        <w:wordWrap/>
        <w:overflowPunct/>
        <w:topLinePunct w:val="0"/>
        <w:autoSpaceDE/>
        <w:autoSpaceDN/>
        <w:bidi w:val="0"/>
        <w:adjustRightInd/>
        <w:snapToGrid w:val="0"/>
        <w:spacing w:before="0" w:after="0" w:line="360" w:lineRule="auto"/>
        <w:ind w:firstLine="420" w:firstLineChars="200"/>
        <w:jc w:val="both"/>
        <w:textAlignment w:val="auto"/>
        <w:outlineLvl w:val="9"/>
        <w:rPr>
          <w:rFonts w:ascii="Times New Roman" w:hAnsi="Times New Roman" w:eastAsia="宋体" w:cs="Times New Roman"/>
          <w:b w:val="0"/>
          <w:bCs w:val="0"/>
          <w:kern w:val="2"/>
          <w:sz w:val="21"/>
          <w:szCs w:val="21"/>
          <w:lang w:val="en-US" w:eastAsia="zh-CN" w:bidi="ar-SA"/>
        </w:rPr>
      </w:pPr>
      <w:r>
        <w:rPr>
          <w:rFonts w:hint="eastAsia" w:ascii="Times New Roman" w:hAnsi="Times New Roman" w:eastAsia="宋体" w:cs="Times New Roman"/>
          <w:b w:val="0"/>
          <w:bCs w:val="0"/>
          <w:kern w:val="2"/>
          <w:sz w:val="21"/>
          <w:szCs w:val="21"/>
          <w:lang w:val="en-US" w:eastAsia="zh-CN" w:bidi="ar-SA"/>
        </w:rPr>
        <w:t>本标准由深圳市住房和建设局负责管理，由深圳市建筑科学研究院股份有限公司负责具体技术内容的解释。执行过程中如有意见或建议，请及时反馈给深圳市建筑科学研究院股份有限公司（地址：深圳市福田区梅林梅坳三路29号建科大楼，邮政编码：518049），供今后修订时参考。</w:t>
      </w:r>
    </w:p>
    <w:p>
      <w:pPr>
        <w:ind w:firstLine="420" w:firstLineChars="200"/>
        <w:rPr>
          <w:rFonts w:hint="eastAsia"/>
          <w:lang w:val="en-US" w:eastAsia="zh-CN"/>
        </w:rPr>
      </w:pPr>
      <w:r>
        <w:rPr>
          <w:rFonts w:hint="eastAsia"/>
        </w:rPr>
        <w:t>本标准主编单位：</w:t>
      </w:r>
      <w:r>
        <w:rPr>
          <w:rFonts w:hint="eastAsia"/>
          <w:lang w:val="en-US" w:eastAsia="zh-CN"/>
        </w:rPr>
        <w:t>深圳市绿色建筑协会</w:t>
      </w:r>
    </w:p>
    <w:p>
      <w:pPr>
        <w:ind w:firstLine="2100" w:firstLineChars="1000"/>
      </w:pPr>
      <w:r>
        <w:rPr>
          <w:rFonts w:hint="eastAsia"/>
          <w:lang w:val="en-US" w:eastAsia="zh-CN"/>
        </w:rPr>
        <w:t>深圳市建筑科学研究院股份有限公司</w:t>
      </w:r>
    </w:p>
    <w:p>
      <w:pPr>
        <w:ind w:firstLine="420" w:firstLineChars="200"/>
        <w:rPr>
          <w:rFonts w:hint="eastAsia"/>
        </w:rPr>
      </w:pPr>
      <w:r>
        <w:rPr>
          <w:rFonts w:hint="eastAsia"/>
        </w:rPr>
        <w:t>本标准参编单位：深圳市房地产和城市建设发展研究中心</w:t>
      </w:r>
      <w:r>
        <w:rPr>
          <w:rFonts w:hint="eastAsia"/>
        </w:rPr>
        <w:tab/>
      </w:r>
    </w:p>
    <w:p>
      <w:pPr>
        <w:ind w:firstLine="2100" w:firstLineChars="1000"/>
        <w:rPr>
          <w:rFonts w:hint="eastAsia"/>
        </w:rPr>
      </w:pPr>
      <w:r>
        <w:rPr>
          <w:rFonts w:hint="eastAsia"/>
        </w:rPr>
        <w:t>深圳市建筑设计研究总院有限公司</w:t>
      </w:r>
      <w:r>
        <w:rPr>
          <w:rFonts w:hint="eastAsia"/>
        </w:rPr>
        <w:tab/>
      </w:r>
    </w:p>
    <w:p>
      <w:pPr>
        <w:ind w:firstLine="2100" w:firstLineChars="1000"/>
        <w:rPr>
          <w:rFonts w:hint="eastAsia"/>
        </w:rPr>
      </w:pPr>
      <w:r>
        <w:rPr>
          <w:rFonts w:hint="eastAsia"/>
        </w:rPr>
        <w:t>中国建筑科学研究院有限公司深圳分公司</w:t>
      </w:r>
      <w:r>
        <w:rPr>
          <w:rFonts w:hint="eastAsia"/>
        </w:rPr>
        <w:tab/>
      </w:r>
    </w:p>
    <w:p>
      <w:pPr>
        <w:ind w:firstLine="2100" w:firstLineChars="1000"/>
        <w:rPr>
          <w:rFonts w:hint="eastAsia"/>
        </w:rPr>
      </w:pPr>
      <w:r>
        <w:rPr>
          <w:rFonts w:hint="eastAsia"/>
        </w:rPr>
        <w:t>广东省建筑设计研究院集团股份有限公司深圳分公司</w:t>
      </w:r>
      <w:r>
        <w:rPr>
          <w:rFonts w:hint="eastAsia"/>
        </w:rPr>
        <w:tab/>
      </w:r>
    </w:p>
    <w:p>
      <w:pPr>
        <w:ind w:firstLine="2100" w:firstLineChars="1000"/>
        <w:rPr>
          <w:rFonts w:hint="eastAsia"/>
        </w:rPr>
      </w:pPr>
      <w:r>
        <w:rPr>
          <w:rFonts w:hint="eastAsia"/>
        </w:rPr>
        <w:t>深圳市幸福人居建筑科技有限公司</w:t>
      </w:r>
      <w:r>
        <w:rPr>
          <w:rFonts w:hint="eastAsia"/>
        </w:rPr>
        <w:tab/>
      </w:r>
    </w:p>
    <w:p>
      <w:pPr>
        <w:ind w:firstLine="2100" w:firstLineChars="1000"/>
        <w:rPr>
          <w:rFonts w:hint="eastAsia"/>
        </w:rPr>
      </w:pPr>
      <w:r>
        <w:rPr>
          <w:rFonts w:hint="eastAsia"/>
        </w:rPr>
        <w:t>润加物业（深圳）服务有限公司</w:t>
      </w:r>
      <w:r>
        <w:rPr>
          <w:rFonts w:hint="eastAsia"/>
        </w:rPr>
        <w:tab/>
      </w:r>
    </w:p>
    <w:p>
      <w:pPr>
        <w:ind w:firstLine="2100" w:firstLineChars="1000"/>
        <w:rPr>
          <w:rFonts w:hint="eastAsia"/>
        </w:rPr>
      </w:pPr>
      <w:r>
        <w:rPr>
          <w:rFonts w:hint="eastAsia"/>
        </w:rPr>
        <w:t>深圳市土木检测有限公司</w:t>
      </w:r>
      <w:r>
        <w:rPr>
          <w:rFonts w:hint="eastAsia"/>
        </w:rPr>
        <w:tab/>
      </w:r>
    </w:p>
    <w:p>
      <w:pPr>
        <w:ind w:firstLine="2100" w:firstLineChars="1000"/>
        <w:rPr>
          <w:rFonts w:hint="eastAsia"/>
        </w:rPr>
      </w:pPr>
      <w:r>
        <w:rPr>
          <w:rFonts w:hint="eastAsia"/>
        </w:rPr>
        <w:t>绿斯通（广东）能源科技有限公司</w:t>
      </w:r>
    </w:p>
    <w:p>
      <w:pPr>
        <w:ind w:firstLine="420" w:firstLineChars="200"/>
        <w:rPr>
          <w:rFonts w:hint="eastAsia"/>
        </w:rPr>
      </w:pPr>
      <w:r>
        <w:rPr>
          <w:rFonts w:hint="eastAsia"/>
        </w:rPr>
        <w:t>本标准参</w:t>
      </w:r>
      <w:r>
        <w:rPr>
          <w:rFonts w:hint="eastAsia"/>
          <w:lang w:val="en-US" w:eastAsia="zh-CN"/>
        </w:rPr>
        <w:t>加</w:t>
      </w:r>
      <w:r>
        <w:rPr>
          <w:rFonts w:hint="eastAsia"/>
        </w:rPr>
        <w:t>单位：深圳市建设科技促进中心</w:t>
      </w:r>
      <w:r>
        <w:rPr>
          <w:rFonts w:hint="eastAsia"/>
        </w:rPr>
        <w:tab/>
      </w:r>
    </w:p>
    <w:p>
      <w:pPr>
        <w:ind w:firstLine="2100" w:firstLineChars="1000"/>
        <w:rPr>
          <w:rFonts w:hint="eastAsia"/>
        </w:rPr>
      </w:pPr>
      <w:r>
        <w:rPr>
          <w:rFonts w:hint="eastAsia"/>
        </w:rPr>
        <w:t>深圳市建筑工程质量安全监督总站</w:t>
      </w:r>
      <w:r>
        <w:rPr>
          <w:rFonts w:hint="eastAsia"/>
        </w:rPr>
        <w:tab/>
      </w:r>
    </w:p>
    <w:p>
      <w:pPr>
        <w:ind w:firstLine="2100" w:firstLineChars="1000"/>
        <w:rPr>
          <w:rFonts w:hint="eastAsia"/>
        </w:rPr>
      </w:pPr>
      <w:r>
        <w:rPr>
          <w:rFonts w:hint="eastAsia"/>
        </w:rPr>
        <w:t>深圳市宝安区住房和建设事务中心</w:t>
      </w:r>
      <w:r>
        <w:rPr>
          <w:rFonts w:hint="eastAsia"/>
        </w:rPr>
        <w:tab/>
      </w:r>
    </w:p>
    <w:p>
      <w:pPr>
        <w:ind w:firstLine="2100" w:firstLineChars="1000"/>
        <w:rPr>
          <w:rFonts w:hint="default" w:eastAsia="宋体"/>
          <w:lang w:val="en-US" w:eastAsia="zh-CN"/>
        </w:rPr>
      </w:pPr>
      <w:r>
        <w:rPr>
          <w:rFonts w:hint="eastAsia"/>
        </w:rPr>
        <w:t>北京世邦魏理仕物业管理服务有限公司深圳分公司</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44" w:firstLineChars="200"/>
        <w:jc w:val="both"/>
        <w:textAlignment w:val="auto"/>
        <w:rPr>
          <w:rFonts w:hint="eastAsia"/>
          <w:sz w:val="21"/>
          <w:szCs w:val="21"/>
        </w:rPr>
      </w:pPr>
      <w:r>
        <w:rPr>
          <w:rFonts w:hint="eastAsia"/>
          <w:spacing w:val="6"/>
          <w:kern w:val="2"/>
          <w:sz w:val="21"/>
          <w:szCs w:val="21"/>
        </w:rPr>
        <w:t>本标准主要起草人员</w:t>
      </w:r>
      <w:r>
        <w:rPr>
          <w:rFonts w:hint="eastAsia"/>
          <w:spacing w:val="0"/>
          <w:kern w:val="2"/>
          <w:sz w:val="21"/>
          <w:szCs w:val="21"/>
        </w:rPr>
        <w:t>：</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kern w:val="0"/>
          <w:sz w:val="21"/>
          <w:szCs w:val="21"/>
        </w:rPr>
      </w:pPr>
      <w:r>
        <w:rPr>
          <w:rFonts w:hint="eastAsia"/>
          <w:spacing w:val="5"/>
          <w:kern w:val="0"/>
          <w:sz w:val="21"/>
          <w:szCs w:val="21"/>
          <w:fitText w:val="2200" w:id="553083095"/>
        </w:rPr>
        <w:t>本标准主要审查人员：</w:t>
      </w:r>
    </w:p>
    <w:p>
      <w:pPr>
        <w:keepNext w:val="0"/>
        <w:keepLines w:val="0"/>
        <w:pageBreakBefore w:val="0"/>
        <w:widowControl w:val="0"/>
        <w:kinsoku/>
        <w:wordWrap/>
        <w:overflowPunct/>
        <w:topLinePunct w:val="0"/>
        <w:autoSpaceDE/>
        <w:autoSpaceDN/>
        <w:bidi w:val="0"/>
        <w:adjustRightInd/>
        <w:snapToGrid/>
        <w:spacing w:line="360" w:lineRule="auto"/>
        <w:ind w:firstLine="444" w:firstLineChars="200"/>
        <w:textAlignment w:val="auto"/>
        <w:rPr>
          <w:b w:val="0"/>
          <w:bCs w:val="0"/>
          <w:sz w:val="24"/>
          <w:szCs w:val="24"/>
        </w:rPr>
        <w:sectPr>
          <w:footerReference r:id="rId8" w:type="default"/>
          <w:pgSz w:w="11906" w:h="16838"/>
          <w:pgMar w:top="1134" w:right="1797" w:bottom="1134" w:left="1797" w:header="851" w:footer="992" w:gutter="0"/>
          <w:pgNumType w:fmt="decimal" w:start="1"/>
          <w:cols w:space="720" w:num="1"/>
          <w:docGrid w:type="lines" w:linePitch="312" w:charSpace="0"/>
        </w:sectPr>
      </w:pPr>
      <w:r>
        <w:rPr>
          <w:rFonts w:hint="eastAsia"/>
          <w:spacing w:val="6"/>
          <w:kern w:val="2"/>
          <w:sz w:val="21"/>
          <w:szCs w:val="21"/>
        </w:rPr>
        <w:t>本标准业务归口单位主要指导人员：</w:t>
      </w:r>
      <w:r>
        <w:rPr>
          <w:b/>
          <w:bCs/>
          <w:sz w:val="24"/>
        </w:rPr>
        <w:t xml:space="preserve"> </w:t>
      </w:r>
    </w:p>
    <w:p>
      <w:pPr>
        <w:pStyle w:val="36"/>
        <w:spacing w:before="312" w:after="312" w:line="360" w:lineRule="auto"/>
        <w:rPr>
          <w:bCs w:val="0"/>
          <w:sz w:val="30"/>
          <w:szCs w:val="30"/>
        </w:rPr>
      </w:pPr>
      <w:bookmarkStart w:id="4" w:name="_Toc204157112"/>
      <w:bookmarkStart w:id="5" w:name="_Toc9937200"/>
      <w:bookmarkStart w:id="6" w:name="_Toc204157409"/>
      <w:r>
        <w:rPr>
          <w:bCs w:val="0"/>
          <w:sz w:val="30"/>
          <w:szCs w:val="30"/>
        </w:rPr>
        <w:t>目  录</w:t>
      </w:r>
      <w:bookmarkEnd w:id="4"/>
      <w:bookmarkEnd w:id="5"/>
      <w:bookmarkEnd w:id="6"/>
    </w:p>
    <w:p>
      <w:pPr>
        <w:pStyle w:val="12"/>
        <w:tabs>
          <w:tab w:val="left" w:pos="284"/>
          <w:tab w:val="right" w:leader="dot" w:pos="8302"/>
        </w:tabs>
        <w:rPr>
          <w:rFonts w:ascii="等线" w:hAnsi="等线" w:eastAsia="等线"/>
          <w:b w:val="0"/>
          <w:sz w:val="24"/>
          <w:szCs w:val="24"/>
        </w:rPr>
      </w:pPr>
      <w:r>
        <w:rPr>
          <w:sz w:val="24"/>
          <w:szCs w:val="24"/>
        </w:rPr>
        <w:fldChar w:fldCharType="begin"/>
      </w:r>
      <w:r>
        <w:rPr>
          <w:sz w:val="24"/>
          <w:szCs w:val="24"/>
        </w:rPr>
        <w:instrText xml:space="preserve"> TOC \o "1-2" \h \z \u </w:instrText>
      </w:r>
      <w:r>
        <w:rPr>
          <w:sz w:val="24"/>
          <w:szCs w:val="24"/>
        </w:rPr>
        <w:fldChar w:fldCharType="separate"/>
      </w:r>
      <w:r>
        <w:rPr>
          <w:rStyle w:val="20"/>
          <w:sz w:val="24"/>
          <w:szCs w:val="24"/>
        </w:rPr>
        <w:fldChar w:fldCharType="begin"/>
      </w:r>
      <w:r>
        <w:rPr>
          <w:rStyle w:val="20"/>
          <w:sz w:val="24"/>
          <w:szCs w:val="24"/>
        </w:rPr>
        <w:instrText xml:space="preserve"> </w:instrText>
      </w:r>
      <w:r>
        <w:rPr>
          <w:sz w:val="24"/>
          <w:szCs w:val="24"/>
        </w:rPr>
        <w:instrText xml:space="preserve">HYPERLINK \l "_Toc204157410"</w:instrText>
      </w:r>
      <w:r>
        <w:rPr>
          <w:rStyle w:val="20"/>
          <w:sz w:val="24"/>
          <w:szCs w:val="24"/>
        </w:rPr>
        <w:instrText xml:space="preserve"> </w:instrText>
      </w:r>
      <w:r>
        <w:rPr>
          <w:rStyle w:val="20"/>
          <w:sz w:val="24"/>
          <w:szCs w:val="24"/>
        </w:rPr>
        <w:fldChar w:fldCharType="separate"/>
      </w:r>
      <w:r>
        <w:rPr>
          <w:rStyle w:val="20"/>
          <w:sz w:val="24"/>
          <w:szCs w:val="24"/>
        </w:rPr>
        <w:t>1</w:t>
      </w:r>
      <w:r>
        <w:rPr>
          <w:rFonts w:ascii="等线" w:hAnsi="等线" w:eastAsia="等线"/>
          <w:b w:val="0"/>
          <w:sz w:val="24"/>
          <w:szCs w:val="24"/>
        </w:rPr>
        <w:tab/>
      </w:r>
      <w:r>
        <w:rPr>
          <w:rStyle w:val="20"/>
          <w:sz w:val="24"/>
          <w:szCs w:val="24"/>
        </w:rPr>
        <w:t>总 则</w:t>
      </w:r>
      <w:r>
        <w:rPr>
          <w:sz w:val="24"/>
          <w:szCs w:val="24"/>
        </w:rPr>
        <w:tab/>
      </w:r>
      <w:r>
        <w:rPr>
          <w:sz w:val="24"/>
          <w:szCs w:val="24"/>
        </w:rPr>
        <w:fldChar w:fldCharType="begin"/>
      </w:r>
      <w:r>
        <w:rPr>
          <w:sz w:val="24"/>
          <w:szCs w:val="24"/>
        </w:rPr>
        <w:instrText xml:space="preserve"> PAGEREF _Toc204157410 \h </w:instrText>
      </w:r>
      <w:r>
        <w:rPr>
          <w:sz w:val="24"/>
          <w:szCs w:val="24"/>
        </w:rPr>
        <w:fldChar w:fldCharType="separate"/>
      </w:r>
      <w:r>
        <w:rPr>
          <w:sz w:val="24"/>
          <w:szCs w:val="24"/>
        </w:rPr>
        <w:t>1</w:t>
      </w:r>
      <w:r>
        <w:rPr>
          <w:sz w:val="24"/>
          <w:szCs w:val="24"/>
        </w:rPr>
        <w:fldChar w:fldCharType="end"/>
      </w:r>
      <w:r>
        <w:rPr>
          <w:rStyle w:val="20"/>
          <w:sz w:val="24"/>
          <w:szCs w:val="24"/>
        </w:rPr>
        <w:fldChar w:fldCharType="end"/>
      </w:r>
    </w:p>
    <w:p>
      <w:pPr>
        <w:pStyle w:val="12"/>
        <w:tabs>
          <w:tab w:val="left" w:pos="284"/>
          <w:tab w:val="right" w:leader="dot" w:pos="8302"/>
        </w:tabs>
        <w:rPr>
          <w:rFonts w:ascii="等线" w:hAnsi="等线" w:eastAsia="等线"/>
          <w:b w:val="0"/>
          <w:sz w:val="24"/>
          <w:szCs w:val="24"/>
        </w:rPr>
      </w:pPr>
      <w:r>
        <w:rPr>
          <w:rStyle w:val="20"/>
          <w:sz w:val="24"/>
          <w:szCs w:val="24"/>
        </w:rPr>
        <w:fldChar w:fldCharType="begin"/>
      </w:r>
      <w:r>
        <w:rPr>
          <w:rStyle w:val="20"/>
          <w:sz w:val="24"/>
          <w:szCs w:val="24"/>
        </w:rPr>
        <w:instrText xml:space="preserve"> </w:instrText>
      </w:r>
      <w:r>
        <w:rPr>
          <w:sz w:val="24"/>
          <w:szCs w:val="24"/>
        </w:rPr>
        <w:instrText xml:space="preserve">HYPERLINK \l "_Toc204157411"</w:instrText>
      </w:r>
      <w:r>
        <w:rPr>
          <w:rStyle w:val="20"/>
          <w:sz w:val="24"/>
          <w:szCs w:val="24"/>
        </w:rPr>
        <w:instrText xml:space="preserve"> </w:instrText>
      </w:r>
      <w:r>
        <w:rPr>
          <w:rStyle w:val="20"/>
          <w:sz w:val="24"/>
          <w:szCs w:val="24"/>
        </w:rPr>
        <w:fldChar w:fldCharType="separate"/>
      </w:r>
      <w:r>
        <w:rPr>
          <w:rStyle w:val="20"/>
          <w:sz w:val="24"/>
          <w:szCs w:val="24"/>
        </w:rPr>
        <w:t>2</w:t>
      </w:r>
      <w:r>
        <w:rPr>
          <w:rFonts w:ascii="等线" w:hAnsi="等线" w:eastAsia="等线"/>
          <w:b w:val="0"/>
          <w:sz w:val="24"/>
          <w:szCs w:val="24"/>
        </w:rPr>
        <w:tab/>
      </w:r>
      <w:r>
        <w:rPr>
          <w:rStyle w:val="20"/>
          <w:sz w:val="24"/>
          <w:szCs w:val="24"/>
        </w:rPr>
        <w:t>术 语</w:t>
      </w:r>
      <w:r>
        <w:rPr>
          <w:sz w:val="24"/>
          <w:szCs w:val="24"/>
        </w:rPr>
        <w:tab/>
      </w:r>
      <w:r>
        <w:rPr>
          <w:rFonts w:hint="eastAsia"/>
          <w:sz w:val="24"/>
          <w:szCs w:val="24"/>
          <w:lang w:val="en-US" w:eastAsia="zh-CN"/>
        </w:rPr>
        <w:t>4</w:t>
      </w:r>
      <w:r>
        <w:rPr>
          <w:rStyle w:val="20"/>
          <w:sz w:val="24"/>
          <w:szCs w:val="24"/>
        </w:rPr>
        <w:fldChar w:fldCharType="end"/>
      </w:r>
    </w:p>
    <w:p>
      <w:pPr>
        <w:pStyle w:val="12"/>
        <w:tabs>
          <w:tab w:val="left" w:pos="284"/>
          <w:tab w:val="right" w:leader="dot" w:pos="8302"/>
        </w:tabs>
        <w:rPr>
          <w:rFonts w:ascii="等线" w:hAnsi="等线" w:eastAsia="等线"/>
          <w:b w:val="0"/>
          <w:sz w:val="24"/>
          <w:szCs w:val="24"/>
        </w:rPr>
      </w:pPr>
      <w:r>
        <w:rPr>
          <w:rStyle w:val="20"/>
          <w:sz w:val="24"/>
          <w:szCs w:val="24"/>
        </w:rPr>
        <w:fldChar w:fldCharType="begin"/>
      </w:r>
      <w:r>
        <w:rPr>
          <w:rStyle w:val="20"/>
          <w:sz w:val="24"/>
          <w:szCs w:val="24"/>
        </w:rPr>
        <w:instrText xml:space="preserve"> </w:instrText>
      </w:r>
      <w:r>
        <w:rPr>
          <w:sz w:val="24"/>
          <w:szCs w:val="24"/>
        </w:rPr>
        <w:instrText xml:space="preserve">HYPERLINK \l "_Toc204157412"</w:instrText>
      </w:r>
      <w:r>
        <w:rPr>
          <w:rStyle w:val="20"/>
          <w:sz w:val="24"/>
          <w:szCs w:val="24"/>
        </w:rPr>
        <w:instrText xml:space="preserve"> </w:instrText>
      </w:r>
      <w:r>
        <w:rPr>
          <w:rStyle w:val="20"/>
          <w:sz w:val="24"/>
          <w:szCs w:val="24"/>
        </w:rPr>
        <w:fldChar w:fldCharType="separate"/>
      </w:r>
      <w:r>
        <w:rPr>
          <w:rStyle w:val="20"/>
          <w:sz w:val="24"/>
          <w:szCs w:val="24"/>
        </w:rPr>
        <w:t>3</w:t>
      </w:r>
      <w:r>
        <w:rPr>
          <w:rFonts w:ascii="等线" w:hAnsi="等线" w:eastAsia="等线"/>
          <w:b w:val="0"/>
          <w:sz w:val="24"/>
          <w:szCs w:val="24"/>
        </w:rPr>
        <w:tab/>
      </w:r>
      <w:r>
        <w:rPr>
          <w:rStyle w:val="20"/>
          <w:sz w:val="24"/>
          <w:szCs w:val="24"/>
        </w:rPr>
        <w:t>基本规定</w:t>
      </w:r>
      <w:r>
        <w:rPr>
          <w:sz w:val="24"/>
          <w:szCs w:val="24"/>
        </w:rPr>
        <w:tab/>
      </w:r>
      <w:r>
        <w:rPr>
          <w:rFonts w:hint="eastAsia"/>
          <w:sz w:val="24"/>
          <w:szCs w:val="24"/>
          <w:lang w:val="en-US" w:eastAsia="zh-CN"/>
        </w:rPr>
        <w:t>5</w:t>
      </w:r>
      <w:r>
        <w:rPr>
          <w:rStyle w:val="20"/>
          <w:sz w:val="24"/>
          <w:szCs w:val="24"/>
        </w:rPr>
        <w:fldChar w:fldCharType="end"/>
      </w:r>
    </w:p>
    <w:p>
      <w:pPr>
        <w:pStyle w:val="12"/>
        <w:tabs>
          <w:tab w:val="left" w:pos="284"/>
          <w:tab w:val="right" w:leader="dot" w:pos="8302"/>
        </w:tabs>
        <w:rPr>
          <w:rFonts w:ascii="等线" w:hAnsi="等线" w:eastAsia="等线"/>
          <w:b w:val="0"/>
          <w:sz w:val="24"/>
          <w:szCs w:val="24"/>
        </w:rPr>
      </w:pPr>
      <w:r>
        <w:rPr>
          <w:rStyle w:val="20"/>
          <w:sz w:val="24"/>
          <w:szCs w:val="24"/>
        </w:rPr>
        <w:fldChar w:fldCharType="begin"/>
      </w:r>
      <w:r>
        <w:rPr>
          <w:rStyle w:val="20"/>
          <w:sz w:val="24"/>
          <w:szCs w:val="24"/>
        </w:rPr>
        <w:instrText xml:space="preserve"> </w:instrText>
      </w:r>
      <w:r>
        <w:rPr>
          <w:sz w:val="24"/>
          <w:szCs w:val="24"/>
        </w:rPr>
        <w:instrText xml:space="preserve">HYPERLINK \l "_Toc204157413"</w:instrText>
      </w:r>
      <w:r>
        <w:rPr>
          <w:rStyle w:val="20"/>
          <w:sz w:val="24"/>
          <w:szCs w:val="24"/>
        </w:rPr>
        <w:instrText xml:space="preserve"> </w:instrText>
      </w:r>
      <w:r>
        <w:rPr>
          <w:rStyle w:val="20"/>
          <w:sz w:val="24"/>
          <w:szCs w:val="24"/>
        </w:rPr>
        <w:fldChar w:fldCharType="separate"/>
      </w:r>
      <w:r>
        <w:rPr>
          <w:rStyle w:val="20"/>
          <w:sz w:val="24"/>
          <w:szCs w:val="24"/>
        </w:rPr>
        <w:t>4</w:t>
      </w:r>
      <w:r>
        <w:rPr>
          <w:rFonts w:ascii="等线" w:hAnsi="等线" w:eastAsia="等线"/>
          <w:b w:val="0"/>
          <w:sz w:val="24"/>
          <w:szCs w:val="24"/>
        </w:rPr>
        <w:tab/>
      </w:r>
      <w:r>
        <w:rPr>
          <w:rStyle w:val="20"/>
          <w:sz w:val="24"/>
          <w:szCs w:val="24"/>
        </w:rPr>
        <w:t>安全耐久</w:t>
      </w:r>
      <w:r>
        <w:rPr>
          <w:sz w:val="24"/>
          <w:szCs w:val="24"/>
        </w:rPr>
        <w:tab/>
      </w:r>
      <w:r>
        <w:rPr>
          <w:rFonts w:hint="eastAsia"/>
          <w:sz w:val="24"/>
          <w:szCs w:val="24"/>
          <w:lang w:val="en-US" w:eastAsia="zh-CN"/>
        </w:rPr>
        <w:t>6</w:t>
      </w:r>
      <w:r>
        <w:rPr>
          <w:rStyle w:val="20"/>
          <w:sz w:val="24"/>
          <w:szCs w:val="24"/>
        </w:rPr>
        <w:fldChar w:fldCharType="end"/>
      </w:r>
    </w:p>
    <w:p>
      <w:pPr>
        <w:pStyle w:val="14"/>
        <w:tabs>
          <w:tab w:val="left" w:pos="1050"/>
          <w:tab w:val="right" w:leader="dot" w:pos="8302"/>
        </w:tabs>
        <w:rPr>
          <w:rFonts w:ascii="等线" w:hAnsi="等线" w:eastAsia="等线"/>
          <w:sz w:val="24"/>
        </w:rPr>
      </w:pPr>
      <w:r>
        <w:rPr>
          <w:rStyle w:val="20"/>
          <w:sz w:val="24"/>
        </w:rPr>
        <w:fldChar w:fldCharType="begin"/>
      </w:r>
      <w:r>
        <w:rPr>
          <w:rStyle w:val="20"/>
          <w:sz w:val="24"/>
        </w:rPr>
        <w:instrText xml:space="preserve"> </w:instrText>
      </w:r>
      <w:r>
        <w:rPr>
          <w:sz w:val="24"/>
        </w:rPr>
        <w:instrText xml:space="preserve">HYPERLINK \l "_Toc204157414"</w:instrText>
      </w:r>
      <w:r>
        <w:rPr>
          <w:rStyle w:val="20"/>
          <w:sz w:val="24"/>
        </w:rPr>
        <w:instrText xml:space="preserve"> </w:instrText>
      </w:r>
      <w:r>
        <w:rPr>
          <w:rStyle w:val="20"/>
          <w:sz w:val="24"/>
        </w:rPr>
        <w:fldChar w:fldCharType="separate"/>
      </w:r>
      <w:r>
        <w:rPr>
          <w:rStyle w:val="20"/>
          <w:sz w:val="24"/>
        </w:rPr>
        <w:t>4.1</w:t>
      </w:r>
      <w:r>
        <w:rPr>
          <w:rFonts w:ascii="等线" w:hAnsi="等线" w:eastAsia="等线"/>
          <w:sz w:val="24"/>
        </w:rPr>
        <w:tab/>
      </w:r>
      <w:r>
        <w:rPr>
          <w:rStyle w:val="20"/>
          <w:sz w:val="24"/>
        </w:rPr>
        <w:t>一般规定</w:t>
      </w:r>
      <w:r>
        <w:rPr>
          <w:sz w:val="24"/>
        </w:rPr>
        <w:tab/>
      </w:r>
      <w:r>
        <w:rPr>
          <w:rFonts w:hint="eastAsia"/>
          <w:sz w:val="24"/>
          <w:lang w:val="en-US" w:eastAsia="zh-CN"/>
        </w:rPr>
        <w:t>6</w:t>
      </w:r>
      <w:r>
        <w:rPr>
          <w:rStyle w:val="20"/>
          <w:sz w:val="24"/>
        </w:rPr>
        <w:fldChar w:fldCharType="end"/>
      </w:r>
    </w:p>
    <w:p>
      <w:pPr>
        <w:pStyle w:val="14"/>
        <w:tabs>
          <w:tab w:val="left" w:pos="1050"/>
          <w:tab w:val="right" w:leader="dot" w:pos="8302"/>
        </w:tabs>
        <w:rPr>
          <w:rFonts w:ascii="等线" w:hAnsi="等线" w:eastAsia="等线"/>
          <w:sz w:val="24"/>
        </w:rPr>
      </w:pPr>
      <w:r>
        <w:rPr>
          <w:rStyle w:val="20"/>
          <w:sz w:val="24"/>
        </w:rPr>
        <w:fldChar w:fldCharType="begin"/>
      </w:r>
      <w:r>
        <w:rPr>
          <w:rStyle w:val="20"/>
          <w:sz w:val="24"/>
        </w:rPr>
        <w:instrText xml:space="preserve"> </w:instrText>
      </w:r>
      <w:r>
        <w:rPr>
          <w:sz w:val="24"/>
        </w:rPr>
        <w:instrText xml:space="preserve">HYPERLINK \l "_Toc204157415"</w:instrText>
      </w:r>
      <w:r>
        <w:rPr>
          <w:rStyle w:val="20"/>
          <w:sz w:val="24"/>
        </w:rPr>
        <w:instrText xml:space="preserve"> </w:instrText>
      </w:r>
      <w:r>
        <w:rPr>
          <w:rStyle w:val="20"/>
          <w:sz w:val="24"/>
        </w:rPr>
        <w:fldChar w:fldCharType="separate"/>
      </w:r>
      <w:r>
        <w:rPr>
          <w:rStyle w:val="20"/>
          <w:sz w:val="24"/>
        </w:rPr>
        <w:t>4.2</w:t>
      </w:r>
      <w:r>
        <w:rPr>
          <w:rFonts w:ascii="等线" w:hAnsi="等线" w:eastAsia="等线"/>
          <w:sz w:val="24"/>
        </w:rPr>
        <w:tab/>
      </w:r>
      <w:r>
        <w:rPr>
          <w:rStyle w:val="20"/>
          <w:sz w:val="24"/>
        </w:rPr>
        <w:t>安全</w:t>
      </w:r>
      <w:r>
        <w:rPr>
          <w:sz w:val="24"/>
        </w:rPr>
        <w:tab/>
      </w:r>
      <w:r>
        <w:rPr>
          <w:rFonts w:hint="eastAsia"/>
          <w:sz w:val="24"/>
          <w:lang w:val="en-US" w:eastAsia="zh-CN"/>
        </w:rPr>
        <w:t>6</w:t>
      </w:r>
      <w:r>
        <w:rPr>
          <w:rStyle w:val="20"/>
          <w:sz w:val="24"/>
        </w:rPr>
        <w:fldChar w:fldCharType="end"/>
      </w:r>
    </w:p>
    <w:p>
      <w:pPr>
        <w:pStyle w:val="14"/>
        <w:tabs>
          <w:tab w:val="left" w:pos="1050"/>
          <w:tab w:val="right" w:leader="dot" w:pos="8302"/>
        </w:tabs>
        <w:rPr>
          <w:rFonts w:hint="eastAsia" w:ascii="等线" w:hAnsi="等线" w:eastAsia="宋体"/>
          <w:sz w:val="24"/>
          <w:lang w:val="en-US" w:eastAsia="zh-CN"/>
        </w:rPr>
      </w:pPr>
      <w:r>
        <w:rPr>
          <w:rStyle w:val="20"/>
          <w:sz w:val="24"/>
        </w:rPr>
        <w:fldChar w:fldCharType="begin"/>
      </w:r>
      <w:r>
        <w:rPr>
          <w:rStyle w:val="20"/>
          <w:sz w:val="24"/>
        </w:rPr>
        <w:instrText xml:space="preserve"> </w:instrText>
      </w:r>
      <w:r>
        <w:rPr>
          <w:sz w:val="24"/>
        </w:rPr>
        <w:instrText xml:space="preserve">HYPERLINK \l "_Toc204157416"</w:instrText>
      </w:r>
      <w:r>
        <w:rPr>
          <w:rStyle w:val="20"/>
          <w:sz w:val="24"/>
        </w:rPr>
        <w:instrText xml:space="preserve"> </w:instrText>
      </w:r>
      <w:r>
        <w:rPr>
          <w:rStyle w:val="20"/>
          <w:sz w:val="24"/>
        </w:rPr>
        <w:fldChar w:fldCharType="separate"/>
      </w:r>
      <w:r>
        <w:rPr>
          <w:rStyle w:val="20"/>
          <w:sz w:val="24"/>
        </w:rPr>
        <w:t>4.3</w:t>
      </w:r>
      <w:r>
        <w:rPr>
          <w:rFonts w:ascii="等线" w:hAnsi="等线" w:eastAsia="等线"/>
          <w:sz w:val="24"/>
        </w:rPr>
        <w:tab/>
      </w:r>
      <w:r>
        <w:rPr>
          <w:rStyle w:val="20"/>
          <w:sz w:val="24"/>
        </w:rPr>
        <w:t>耐久</w:t>
      </w:r>
      <w:r>
        <w:rPr>
          <w:sz w:val="24"/>
        </w:rPr>
        <w:tab/>
      </w:r>
      <w:r>
        <w:rPr>
          <w:rFonts w:hint="eastAsia"/>
          <w:sz w:val="24"/>
          <w:lang w:val="en-US" w:eastAsia="zh-CN"/>
        </w:rPr>
        <w:t>1</w:t>
      </w:r>
      <w:r>
        <w:rPr>
          <w:rStyle w:val="20"/>
          <w:sz w:val="24"/>
        </w:rPr>
        <w:fldChar w:fldCharType="end"/>
      </w:r>
      <w:r>
        <w:rPr>
          <w:rStyle w:val="20"/>
          <w:rFonts w:hint="eastAsia"/>
          <w:sz w:val="24"/>
          <w:lang w:val="en-US" w:eastAsia="zh-CN"/>
        </w:rPr>
        <w:t>1</w:t>
      </w:r>
    </w:p>
    <w:p>
      <w:pPr>
        <w:pStyle w:val="12"/>
        <w:tabs>
          <w:tab w:val="left" w:pos="284"/>
          <w:tab w:val="right" w:leader="dot" w:pos="8302"/>
        </w:tabs>
        <w:rPr>
          <w:rFonts w:hint="eastAsia" w:ascii="等线" w:hAnsi="等线" w:eastAsia="宋体"/>
          <w:b w:val="0"/>
          <w:sz w:val="24"/>
          <w:szCs w:val="24"/>
          <w:lang w:val="en-US" w:eastAsia="zh-CN"/>
        </w:rPr>
      </w:pPr>
      <w:r>
        <w:rPr>
          <w:rStyle w:val="20"/>
          <w:sz w:val="24"/>
          <w:szCs w:val="24"/>
        </w:rPr>
        <w:fldChar w:fldCharType="begin"/>
      </w:r>
      <w:r>
        <w:rPr>
          <w:rStyle w:val="20"/>
          <w:sz w:val="24"/>
          <w:szCs w:val="24"/>
        </w:rPr>
        <w:instrText xml:space="preserve"> </w:instrText>
      </w:r>
      <w:r>
        <w:rPr>
          <w:sz w:val="24"/>
          <w:szCs w:val="24"/>
        </w:rPr>
        <w:instrText xml:space="preserve">HYPERLINK \l "_Toc204157417"</w:instrText>
      </w:r>
      <w:r>
        <w:rPr>
          <w:rStyle w:val="20"/>
          <w:sz w:val="24"/>
          <w:szCs w:val="24"/>
        </w:rPr>
        <w:instrText xml:space="preserve"> </w:instrText>
      </w:r>
      <w:r>
        <w:rPr>
          <w:rStyle w:val="20"/>
          <w:sz w:val="24"/>
          <w:szCs w:val="24"/>
        </w:rPr>
        <w:fldChar w:fldCharType="separate"/>
      </w:r>
      <w:r>
        <w:rPr>
          <w:rStyle w:val="20"/>
          <w:sz w:val="24"/>
          <w:szCs w:val="24"/>
        </w:rPr>
        <w:t>5</w:t>
      </w:r>
      <w:r>
        <w:rPr>
          <w:rFonts w:ascii="等线" w:hAnsi="等线" w:eastAsia="等线"/>
          <w:b w:val="0"/>
          <w:sz w:val="24"/>
          <w:szCs w:val="24"/>
        </w:rPr>
        <w:tab/>
      </w:r>
      <w:r>
        <w:rPr>
          <w:rStyle w:val="20"/>
          <w:sz w:val="24"/>
          <w:szCs w:val="24"/>
        </w:rPr>
        <w:t>健康舒适</w:t>
      </w:r>
      <w:r>
        <w:rPr>
          <w:sz w:val="24"/>
          <w:szCs w:val="24"/>
        </w:rPr>
        <w:tab/>
      </w:r>
      <w:r>
        <w:rPr>
          <w:rFonts w:hint="eastAsia"/>
          <w:sz w:val="24"/>
          <w:szCs w:val="24"/>
          <w:lang w:val="en-US" w:eastAsia="zh-CN"/>
        </w:rPr>
        <w:t>1</w:t>
      </w:r>
      <w:r>
        <w:rPr>
          <w:rStyle w:val="20"/>
          <w:sz w:val="24"/>
          <w:szCs w:val="24"/>
        </w:rPr>
        <w:fldChar w:fldCharType="end"/>
      </w:r>
      <w:r>
        <w:rPr>
          <w:rStyle w:val="20"/>
          <w:rFonts w:hint="eastAsia"/>
          <w:sz w:val="24"/>
          <w:szCs w:val="24"/>
          <w:lang w:val="en-US" w:eastAsia="zh-CN"/>
        </w:rPr>
        <w:t>5</w:t>
      </w:r>
    </w:p>
    <w:p>
      <w:pPr>
        <w:pStyle w:val="14"/>
        <w:tabs>
          <w:tab w:val="right" w:leader="dot" w:pos="8302"/>
        </w:tabs>
        <w:rPr>
          <w:rFonts w:hint="eastAsia" w:ascii="等线" w:hAnsi="等线" w:eastAsia="宋体"/>
          <w:sz w:val="24"/>
          <w:lang w:val="en-US" w:eastAsia="zh-CN"/>
        </w:rPr>
      </w:pPr>
      <w:r>
        <w:rPr>
          <w:rStyle w:val="20"/>
          <w:sz w:val="24"/>
        </w:rPr>
        <w:fldChar w:fldCharType="begin"/>
      </w:r>
      <w:r>
        <w:rPr>
          <w:rStyle w:val="20"/>
          <w:sz w:val="24"/>
        </w:rPr>
        <w:instrText xml:space="preserve"> </w:instrText>
      </w:r>
      <w:r>
        <w:rPr>
          <w:sz w:val="24"/>
        </w:rPr>
        <w:instrText xml:space="preserve">HYPERLINK \l "_Toc204157418"</w:instrText>
      </w:r>
      <w:r>
        <w:rPr>
          <w:rStyle w:val="20"/>
          <w:sz w:val="24"/>
        </w:rPr>
        <w:instrText xml:space="preserve"> </w:instrText>
      </w:r>
      <w:r>
        <w:rPr>
          <w:rStyle w:val="20"/>
          <w:sz w:val="24"/>
        </w:rPr>
        <w:fldChar w:fldCharType="separate"/>
      </w:r>
      <w:r>
        <w:rPr>
          <w:rStyle w:val="20"/>
          <w:sz w:val="24"/>
          <w:lang w:eastAsia="zh"/>
        </w:rPr>
        <w:t>5.1</w:t>
      </w:r>
      <w:r>
        <w:rPr>
          <w:rStyle w:val="20"/>
          <w:rFonts w:hint="eastAsia"/>
          <w:sz w:val="24"/>
          <w:lang w:val="en-US" w:eastAsia="zh-CN"/>
        </w:rPr>
        <w:t xml:space="preserve">   </w:t>
      </w:r>
      <w:r>
        <w:rPr>
          <w:rStyle w:val="20"/>
          <w:sz w:val="24"/>
        </w:rPr>
        <w:t>室内声环境</w:t>
      </w:r>
      <w:r>
        <w:rPr>
          <w:sz w:val="24"/>
        </w:rPr>
        <w:tab/>
      </w:r>
      <w:r>
        <w:rPr>
          <w:rFonts w:hint="eastAsia"/>
          <w:sz w:val="24"/>
          <w:lang w:val="en-US" w:eastAsia="zh-CN"/>
        </w:rPr>
        <w:t>1</w:t>
      </w:r>
      <w:r>
        <w:rPr>
          <w:rStyle w:val="20"/>
          <w:sz w:val="24"/>
        </w:rPr>
        <w:fldChar w:fldCharType="end"/>
      </w:r>
      <w:r>
        <w:rPr>
          <w:rStyle w:val="20"/>
          <w:rFonts w:hint="eastAsia"/>
          <w:sz w:val="24"/>
          <w:lang w:val="en-US" w:eastAsia="zh-CN"/>
        </w:rPr>
        <w:t>5</w:t>
      </w:r>
    </w:p>
    <w:p>
      <w:pPr>
        <w:pStyle w:val="14"/>
        <w:tabs>
          <w:tab w:val="left" w:pos="1050"/>
          <w:tab w:val="right" w:leader="dot" w:pos="8302"/>
        </w:tabs>
        <w:rPr>
          <w:rFonts w:hint="eastAsia" w:ascii="等线" w:hAnsi="等线" w:eastAsia="宋体"/>
          <w:sz w:val="24"/>
          <w:lang w:val="en-US" w:eastAsia="zh-CN"/>
        </w:rPr>
      </w:pPr>
      <w:r>
        <w:rPr>
          <w:rStyle w:val="20"/>
          <w:sz w:val="24"/>
        </w:rPr>
        <w:fldChar w:fldCharType="begin"/>
      </w:r>
      <w:r>
        <w:rPr>
          <w:rStyle w:val="20"/>
          <w:sz w:val="24"/>
        </w:rPr>
        <w:instrText xml:space="preserve"> </w:instrText>
      </w:r>
      <w:r>
        <w:rPr>
          <w:sz w:val="24"/>
        </w:rPr>
        <w:instrText xml:space="preserve">HYPERLINK \l "_Toc204157419"</w:instrText>
      </w:r>
      <w:r>
        <w:rPr>
          <w:rStyle w:val="20"/>
          <w:sz w:val="24"/>
        </w:rPr>
        <w:instrText xml:space="preserve"> </w:instrText>
      </w:r>
      <w:r>
        <w:rPr>
          <w:rStyle w:val="20"/>
          <w:sz w:val="24"/>
        </w:rPr>
        <w:fldChar w:fldCharType="separate"/>
      </w:r>
      <w:r>
        <w:rPr>
          <w:rStyle w:val="20"/>
          <w:sz w:val="24"/>
        </w:rPr>
        <w:t>5.2</w:t>
      </w:r>
      <w:r>
        <w:rPr>
          <w:rFonts w:ascii="等线" w:hAnsi="等线" w:eastAsia="等线"/>
          <w:sz w:val="24"/>
        </w:rPr>
        <w:tab/>
      </w:r>
      <w:r>
        <w:rPr>
          <w:rStyle w:val="20"/>
          <w:sz w:val="24"/>
        </w:rPr>
        <w:t>室内光环境</w:t>
      </w:r>
      <w:r>
        <w:rPr>
          <w:sz w:val="24"/>
        </w:rPr>
        <w:tab/>
      </w:r>
      <w:r>
        <w:rPr>
          <w:rFonts w:hint="eastAsia"/>
          <w:sz w:val="24"/>
          <w:lang w:val="en-US" w:eastAsia="zh-CN"/>
        </w:rPr>
        <w:t>1</w:t>
      </w:r>
      <w:r>
        <w:rPr>
          <w:rStyle w:val="20"/>
          <w:sz w:val="24"/>
        </w:rPr>
        <w:fldChar w:fldCharType="end"/>
      </w:r>
      <w:r>
        <w:rPr>
          <w:rStyle w:val="20"/>
          <w:rFonts w:hint="eastAsia"/>
          <w:sz w:val="24"/>
          <w:lang w:val="en-US" w:eastAsia="zh-CN"/>
        </w:rPr>
        <w:t>6</w:t>
      </w:r>
    </w:p>
    <w:p>
      <w:pPr>
        <w:pStyle w:val="14"/>
        <w:tabs>
          <w:tab w:val="left" w:pos="1050"/>
          <w:tab w:val="right" w:leader="dot" w:pos="8302"/>
        </w:tabs>
        <w:rPr>
          <w:rFonts w:hint="eastAsia" w:ascii="等线" w:hAnsi="等线" w:eastAsia="宋体"/>
          <w:sz w:val="24"/>
          <w:lang w:val="en-US" w:eastAsia="zh-CN"/>
        </w:rPr>
      </w:pPr>
      <w:r>
        <w:rPr>
          <w:rStyle w:val="20"/>
          <w:sz w:val="24"/>
        </w:rPr>
        <w:fldChar w:fldCharType="begin"/>
      </w:r>
      <w:r>
        <w:rPr>
          <w:rStyle w:val="20"/>
          <w:sz w:val="24"/>
        </w:rPr>
        <w:instrText xml:space="preserve"> </w:instrText>
      </w:r>
      <w:r>
        <w:rPr>
          <w:sz w:val="24"/>
        </w:rPr>
        <w:instrText xml:space="preserve">HYPERLINK \l "_Toc204157420"</w:instrText>
      </w:r>
      <w:r>
        <w:rPr>
          <w:rStyle w:val="20"/>
          <w:sz w:val="24"/>
        </w:rPr>
        <w:instrText xml:space="preserve"> </w:instrText>
      </w:r>
      <w:r>
        <w:rPr>
          <w:rStyle w:val="20"/>
          <w:sz w:val="24"/>
        </w:rPr>
        <w:fldChar w:fldCharType="separate"/>
      </w:r>
      <w:r>
        <w:rPr>
          <w:rStyle w:val="20"/>
          <w:sz w:val="24"/>
        </w:rPr>
        <w:t>5.3</w:t>
      </w:r>
      <w:r>
        <w:rPr>
          <w:rFonts w:ascii="等线" w:hAnsi="等线" w:eastAsia="等线"/>
          <w:sz w:val="24"/>
        </w:rPr>
        <w:tab/>
      </w:r>
      <w:r>
        <w:rPr>
          <w:rStyle w:val="20"/>
          <w:sz w:val="24"/>
        </w:rPr>
        <w:t>室内热湿环境</w:t>
      </w:r>
      <w:r>
        <w:rPr>
          <w:sz w:val="24"/>
        </w:rPr>
        <w:tab/>
      </w:r>
      <w:r>
        <w:rPr>
          <w:rFonts w:hint="eastAsia"/>
          <w:sz w:val="24"/>
          <w:lang w:val="en-US" w:eastAsia="zh-CN"/>
        </w:rPr>
        <w:t>1</w:t>
      </w:r>
      <w:r>
        <w:rPr>
          <w:rStyle w:val="20"/>
          <w:sz w:val="24"/>
        </w:rPr>
        <w:fldChar w:fldCharType="end"/>
      </w:r>
      <w:r>
        <w:rPr>
          <w:rStyle w:val="20"/>
          <w:rFonts w:hint="eastAsia"/>
          <w:sz w:val="24"/>
          <w:lang w:val="en-US" w:eastAsia="zh-CN"/>
        </w:rPr>
        <w:t>7</w:t>
      </w:r>
    </w:p>
    <w:p>
      <w:pPr>
        <w:pStyle w:val="14"/>
        <w:tabs>
          <w:tab w:val="left" w:pos="1050"/>
          <w:tab w:val="right" w:leader="dot" w:pos="8302"/>
        </w:tabs>
        <w:rPr>
          <w:rFonts w:hint="eastAsia" w:ascii="等线" w:hAnsi="等线" w:eastAsia="宋体"/>
          <w:sz w:val="24"/>
          <w:lang w:val="en-US" w:eastAsia="zh-CN"/>
        </w:rPr>
      </w:pPr>
      <w:r>
        <w:rPr>
          <w:rStyle w:val="20"/>
          <w:sz w:val="24"/>
        </w:rPr>
        <w:fldChar w:fldCharType="begin"/>
      </w:r>
      <w:r>
        <w:rPr>
          <w:rStyle w:val="20"/>
          <w:sz w:val="24"/>
        </w:rPr>
        <w:instrText xml:space="preserve"> </w:instrText>
      </w:r>
      <w:r>
        <w:rPr>
          <w:sz w:val="24"/>
        </w:rPr>
        <w:instrText xml:space="preserve">HYPERLINK \l "_Toc204157421"</w:instrText>
      </w:r>
      <w:r>
        <w:rPr>
          <w:rStyle w:val="20"/>
          <w:sz w:val="24"/>
        </w:rPr>
        <w:instrText xml:space="preserve"> </w:instrText>
      </w:r>
      <w:r>
        <w:rPr>
          <w:rStyle w:val="20"/>
          <w:sz w:val="24"/>
        </w:rPr>
        <w:fldChar w:fldCharType="separate"/>
      </w:r>
      <w:r>
        <w:rPr>
          <w:rStyle w:val="20"/>
          <w:sz w:val="24"/>
        </w:rPr>
        <w:t>5.4</w:t>
      </w:r>
      <w:r>
        <w:rPr>
          <w:rFonts w:ascii="等线" w:hAnsi="等线" w:eastAsia="等线"/>
          <w:sz w:val="24"/>
        </w:rPr>
        <w:tab/>
      </w:r>
      <w:r>
        <w:rPr>
          <w:rStyle w:val="20"/>
          <w:sz w:val="24"/>
        </w:rPr>
        <w:t>室内空气质量</w:t>
      </w:r>
      <w:r>
        <w:rPr>
          <w:sz w:val="24"/>
        </w:rPr>
        <w:tab/>
      </w:r>
      <w:r>
        <w:rPr>
          <w:rFonts w:hint="eastAsia"/>
          <w:sz w:val="24"/>
          <w:lang w:val="en-US" w:eastAsia="zh-CN"/>
        </w:rPr>
        <w:t>1</w:t>
      </w:r>
      <w:r>
        <w:rPr>
          <w:rStyle w:val="20"/>
          <w:sz w:val="24"/>
        </w:rPr>
        <w:fldChar w:fldCharType="end"/>
      </w:r>
      <w:r>
        <w:rPr>
          <w:rStyle w:val="20"/>
          <w:rFonts w:hint="eastAsia"/>
          <w:sz w:val="24"/>
          <w:lang w:val="en-US" w:eastAsia="zh-CN"/>
        </w:rPr>
        <w:t>8</w:t>
      </w:r>
    </w:p>
    <w:p>
      <w:pPr>
        <w:pStyle w:val="14"/>
        <w:tabs>
          <w:tab w:val="left" w:pos="1050"/>
          <w:tab w:val="right" w:leader="dot" w:pos="8302"/>
        </w:tabs>
        <w:rPr>
          <w:rFonts w:hint="eastAsia" w:ascii="等线" w:hAnsi="等线" w:eastAsia="宋体"/>
          <w:sz w:val="24"/>
          <w:lang w:val="en-US" w:eastAsia="zh-CN"/>
        </w:rPr>
      </w:pPr>
      <w:r>
        <w:rPr>
          <w:rStyle w:val="20"/>
          <w:sz w:val="24"/>
        </w:rPr>
        <w:fldChar w:fldCharType="begin"/>
      </w:r>
      <w:r>
        <w:rPr>
          <w:rStyle w:val="20"/>
          <w:sz w:val="24"/>
        </w:rPr>
        <w:instrText xml:space="preserve"> </w:instrText>
      </w:r>
      <w:r>
        <w:rPr>
          <w:sz w:val="24"/>
        </w:rPr>
        <w:instrText xml:space="preserve">HYPERLINK \l "_Toc204157422"</w:instrText>
      </w:r>
      <w:r>
        <w:rPr>
          <w:rStyle w:val="20"/>
          <w:sz w:val="24"/>
        </w:rPr>
        <w:instrText xml:space="preserve"> </w:instrText>
      </w:r>
      <w:r>
        <w:rPr>
          <w:rStyle w:val="20"/>
          <w:sz w:val="24"/>
        </w:rPr>
        <w:fldChar w:fldCharType="separate"/>
      </w:r>
      <w:r>
        <w:rPr>
          <w:rStyle w:val="20"/>
          <w:sz w:val="24"/>
        </w:rPr>
        <w:t>5.5</w:t>
      </w:r>
      <w:r>
        <w:rPr>
          <w:rFonts w:ascii="等线" w:hAnsi="等线" w:eastAsia="等线"/>
          <w:sz w:val="24"/>
        </w:rPr>
        <w:tab/>
      </w:r>
      <w:r>
        <w:rPr>
          <w:rStyle w:val="20"/>
          <w:sz w:val="24"/>
        </w:rPr>
        <w:t>水质</w:t>
      </w:r>
      <w:r>
        <w:rPr>
          <w:sz w:val="24"/>
        </w:rPr>
        <w:tab/>
      </w:r>
      <w:r>
        <w:rPr>
          <w:rFonts w:hint="eastAsia"/>
          <w:sz w:val="24"/>
          <w:lang w:val="en-US" w:eastAsia="zh-CN"/>
        </w:rPr>
        <w:t>1</w:t>
      </w:r>
      <w:r>
        <w:rPr>
          <w:rStyle w:val="20"/>
          <w:sz w:val="24"/>
        </w:rPr>
        <w:fldChar w:fldCharType="end"/>
      </w:r>
      <w:r>
        <w:rPr>
          <w:rStyle w:val="20"/>
          <w:rFonts w:hint="eastAsia"/>
          <w:sz w:val="24"/>
          <w:lang w:val="en-US" w:eastAsia="zh-CN"/>
        </w:rPr>
        <w:t>9</w:t>
      </w:r>
    </w:p>
    <w:p>
      <w:pPr>
        <w:pStyle w:val="12"/>
        <w:tabs>
          <w:tab w:val="left" w:pos="284"/>
          <w:tab w:val="right" w:leader="dot" w:pos="8302"/>
        </w:tabs>
        <w:rPr>
          <w:rFonts w:hint="eastAsia" w:ascii="等线" w:hAnsi="等线" w:eastAsia="宋体"/>
          <w:b w:val="0"/>
          <w:sz w:val="24"/>
          <w:szCs w:val="24"/>
          <w:lang w:val="en-US" w:eastAsia="zh-CN"/>
        </w:rPr>
      </w:pPr>
      <w:r>
        <w:rPr>
          <w:rStyle w:val="20"/>
          <w:sz w:val="24"/>
          <w:szCs w:val="24"/>
        </w:rPr>
        <w:fldChar w:fldCharType="begin"/>
      </w:r>
      <w:r>
        <w:rPr>
          <w:rStyle w:val="20"/>
          <w:sz w:val="24"/>
          <w:szCs w:val="24"/>
        </w:rPr>
        <w:instrText xml:space="preserve"> </w:instrText>
      </w:r>
      <w:r>
        <w:rPr>
          <w:sz w:val="24"/>
          <w:szCs w:val="24"/>
        </w:rPr>
        <w:instrText xml:space="preserve">HYPERLINK \l "_Toc204157423"</w:instrText>
      </w:r>
      <w:r>
        <w:rPr>
          <w:rStyle w:val="20"/>
          <w:sz w:val="24"/>
          <w:szCs w:val="24"/>
        </w:rPr>
        <w:instrText xml:space="preserve"> </w:instrText>
      </w:r>
      <w:r>
        <w:rPr>
          <w:rStyle w:val="20"/>
          <w:sz w:val="24"/>
          <w:szCs w:val="24"/>
        </w:rPr>
        <w:fldChar w:fldCharType="separate"/>
      </w:r>
      <w:r>
        <w:rPr>
          <w:rStyle w:val="20"/>
          <w:sz w:val="24"/>
          <w:szCs w:val="24"/>
        </w:rPr>
        <w:t>6</w:t>
      </w:r>
      <w:r>
        <w:rPr>
          <w:rFonts w:ascii="等线" w:hAnsi="等线" w:eastAsia="等线"/>
          <w:b w:val="0"/>
          <w:sz w:val="24"/>
          <w:szCs w:val="24"/>
        </w:rPr>
        <w:tab/>
      </w:r>
      <w:r>
        <w:rPr>
          <w:rStyle w:val="20"/>
          <w:sz w:val="24"/>
          <w:szCs w:val="24"/>
        </w:rPr>
        <w:t>生活便利</w:t>
      </w:r>
      <w:r>
        <w:rPr>
          <w:sz w:val="24"/>
          <w:szCs w:val="24"/>
        </w:rPr>
        <w:tab/>
      </w:r>
      <w:r>
        <w:rPr>
          <w:rFonts w:hint="eastAsia"/>
          <w:sz w:val="24"/>
          <w:szCs w:val="24"/>
          <w:lang w:val="en-US" w:eastAsia="zh-CN"/>
        </w:rPr>
        <w:t>2</w:t>
      </w:r>
      <w:r>
        <w:rPr>
          <w:rStyle w:val="20"/>
          <w:sz w:val="24"/>
          <w:szCs w:val="24"/>
        </w:rPr>
        <w:fldChar w:fldCharType="end"/>
      </w:r>
      <w:r>
        <w:rPr>
          <w:rStyle w:val="20"/>
          <w:rFonts w:hint="eastAsia"/>
          <w:sz w:val="24"/>
          <w:szCs w:val="24"/>
          <w:lang w:val="en-US" w:eastAsia="zh-CN"/>
        </w:rPr>
        <w:t>2</w:t>
      </w:r>
    </w:p>
    <w:p>
      <w:pPr>
        <w:pStyle w:val="14"/>
        <w:tabs>
          <w:tab w:val="left" w:pos="1050"/>
          <w:tab w:val="right" w:leader="dot" w:pos="8302"/>
        </w:tabs>
        <w:rPr>
          <w:rFonts w:hint="eastAsia" w:ascii="等线" w:hAnsi="等线" w:eastAsia="宋体"/>
          <w:sz w:val="24"/>
          <w:lang w:val="en-US" w:eastAsia="zh-CN"/>
        </w:rPr>
      </w:pPr>
      <w:r>
        <w:rPr>
          <w:rStyle w:val="20"/>
          <w:sz w:val="24"/>
        </w:rPr>
        <w:fldChar w:fldCharType="begin"/>
      </w:r>
      <w:r>
        <w:rPr>
          <w:rStyle w:val="20"/>
          <w:sz w:val="24"/>
        </w:rPr>
        <w:instrText xml:space="preserve"> </w:instrText>
      </w:r>
      <w:r>
        <w:rPr>
          <w:sz w:val="24"/>
        </w:rPr>
        <w:instrText xml:space="preserve">HYPERLINK \l "_Toc204157424"</w:instrText>
      </w:r>
      <w:r>
        <w:rPr>
          <w:rStyle w:val="20"/>
          <w:sz w:val="24"/>
        </w:rPr>
        <w:instrText xml:space="preserve"> </w:instrText>
      </w:r>
      <w:r>
        <w:rPr>
          <w:rStyle w:val="20"/>
          <w:sz w:val="24"/>
        </w:rPr>
        <w:fldChar w:fldCharType="separate"/>
      </w:r>
      <w:r>
        <w:rPr>
          <w:rStyle w:val="20"/>
          <w:sz w:val="24"/>
        </w:rPr>
        <w:t>6.1</w:t>
      </w:r>
      <w:r>
        <w:rPr>
          <w:rFonts w:ascii="等线" w:hAnsi="等线" w:eastAsia="等线"/>
          <w:sz w:val="24"/>
        </w:rPr>
        <w:tab/>
      </w:r>
      <w:r>
        <w:rPr>
          <w:rStyle w:val="20"/>
          <w:sz w:val="24"/>
        </w:rPr>
        <w:t>出行与无障碍</w:t>
      </w:r>
      <w:r>
        <w:rPr>
          <w:sz w:val="24"/>
        </w:rPr>
        <w:tab/>
      </w:r>
      <w:r>
        <w:rPr>
          <w:rFonts w:hint="eastAsia"/>
          <w:sz w:val="24"/>
          <w:lang w:val="en-US" w:eastAsia="zh-CN"/>
        </w:rPr>
        <w:t>2</w:t>
      </w:r>
      <w:r>
        <w:rPr>
          <w:rStyle w:val="20"/>
          <w:sz w:val="24"/>
        </w:rPr>
        <w:fldChar w:fldCharType="end"/>
      </w:r>
      <w:r>
        <w:rPr>
          <w:rStyle w:val="20"/>
          <w:rFonts w:hint="eastAsia"/>
          <w:sz w:val="24"/>
          <w:lang w:val="en-US" w:eastAsia="zh-CN"/>
        </w:rPr>
        <w:t>2</w:t>
      </w:r>
    </w:p>
    <w:p>
      <w:pPr>
        <w:pStyle w:val="14"/>
        <w:tabs>
          <w:tab w:val="left" w:pos="1050"/>
          <w:tab w:val="right" w:leader="dot" w:pos="8302"/>
        </w:tabs>
        <w:rPr>
          <w:rFonts w:hint="eastAsia" w:ascii="等线" w:hAnsi="等线" w:eastAsia="宋体"/>
          <w:sz w:val="24"/>
          <w:lang w:val="en-US" w:eastAsia="zh-CN"/>
        </w:rPr>
      </w:pPr>
      <w:r>
        <w:rPr>
          <w:rStyle w:val="20"/>
          <w:sz w:val="24"/>
        </w:rPr>
        <w:fldChar w:fldCharType="begin"/>
      </w:r>
      <w:r>
        <w:rPr>
          <w:rStyle w:val="20"/>
          <w:sz w:val="24"/>
        </w:rPr>
        <w:instrText xml:space="preserve"> </w:instrText>
      </w:r>
      <w:r>
        <w:rPr>
          <w:sz w:val="24"/>
        </w:rPr>
        <w:instrText xml:space="preserve">HYPERLINK \l "_Toc204157425"</w:instrText>
      </w:r>
      <w:r>
        <w:rPr>
          <w:rStyle w:val="20"/>
          <w:sz w:val="24"/>
        </w:rPr>
        <w:instrText xml:space="preserve"> </w:instrText>
      </w:r>
      <w:r>
        <w:rPr>
          <w:rStyle w:val="20"/>
          <w:sz w:val="24"/>
        </w:rPr>
        <w:fldChar w:fldCharType="separate"/>
      </w:r>
      <w:r>
        <w:rPr>
          <w:rStyle w:val="20"/>
          <w:sz w:val="24"/>
        </w:rPr>
        <w:t>6.2</w:t>
      </w:r>
      <w:r>
        <w:rPr>
          <w:rFonts w:ascii="等线" w:hAnsi="等线" w:eastAsia="等线"/>
          <w:sz w:val="24"/>
        </w:rPr>
        <w:tab/>
      </w:r>
      <w:r>
        <w:rPr>
          <w:rStyle w:val="20"/>
          <w:sz w:val="24"/>
        </w:rPr>
        <w:t>服务设施</w:t>
      </w:r>
      <w:r>
        <w:rPr>
          <w:sz w:val="24"/>
        </w:rPr>
        <w:tab/>
      </w:r>
      <w:r>
        <w:rPr>
          <w:rFonts w:hint="eastAsia"/>
          <w:sz w:val="24"/>
          <w:lang w:val="en-US" w:eastAsia="zh-CN"/>
        </w:rPr>
        <w:t>2</w:t>
      </w:r>
      <w:r>
        <w:rPr>
          <w:rStyle w:val="20"/>
          <w:sz w:val="24"/>
        </w:rPr>
        <w:fldChar w:fldCharType="end"/>
      </w:r>
      <w:r>
        <w:rPr>
          <w:rStyle w:val="20"/>
          <w:rFonts w:hint="eastAsia"/>
          <w:sz w:val="24"/>
          <w:lang w:val="en-US" w:eastAsia="zh-CN"/>
        </w:rPr>
        <w:t>2</w:t>
      </w:r>
    </w:p>
    <w:p>
      <w:pPr>
        <w:pStyle w:val="14"/>
        <w:tabs>
          <w:tab w:val="left" w:pos="1050"/>
          <w:tab w:val="right" w:leader="dot" w:pos="8302"/>
        </w:tabs>
        <w:rPr>
          <w:rFonts w:hint="eastAsia" w:ascii="等线" w:hAnsi="等线" w:eastAsia="宋体"/>
          <w:sz w:val="24"/>
          <w:lang w:val="en-US" w:eastAsia="zh-CN"/>
        </w:rPr>
      </w:pPr>
      <w:r>
        <w:rPr>
          <w:rStyle w:val="20"/>
          <w:sz w:val="24"/>
        </w:rPr>
        <w:fldChar w:fldCharType="begin"/>
      </w:r>
      <w:r>
        <w:rPr>
          <w:rStyle w:val="20"/>
          <w:sz w:val="24"/>
        </w:rPr>
        <w:instrText xml:space="preserve"> </w:instrText>
      </w:r>
      <w:r>
        <w:rPr>
          <w:sz w:val="24"/>
        </w:rPr>
        <w:instrText xml:space="preserve">HYPERLINK \l "_Toc204157426"</w:instrText>
      </w:r>
      <w:r>
        <w:rPr>
          <w:rStyle w:val="20"/>
          <w:sz w:val="24"/>
        </w:rPr>
        <w:instrText xml:space="preserve"> </w:instrText>
      </w:r>
      <w:r>
        <w:rPr>
          <w:rStyle w:val="20"/>
          <w:sz w:val="24"/>
        </w:rPr>
        <w:fldChar w:fldCharType="separate"/>
      </w:r>
      <w:r>
        <w:rPr>
          <w:rStyle w:val="20"/>
          <w:sz w:val="24"/>
        </w:rPr>
        <w:t>6.3</w:t>
      </w:r>
      <w:r>
        <w:rPr>
          <w:rFonts w:ascii="等线" w:hAnsi="等线" w:eastAsia="等线"/>
          <w:sz w:val="24"/>
        </w:rPr>
        <w:tab/>
      </w:r>
      <w:r>
        <w:rPr>
          <w:rStyle w:val="20"/>
          <w:sz w:val="24"/>
        </w:rPr>
        <w:t>智慧运行</w:t>
      </w:r>
      <w:r>
        <w:rPr>
          <w:sz w:val="24"/>
        </w:rPr>
        <w:tab/>
      </w:r>
      <w:r>
        <w:rPr>
          <w:rFonts w:hint="eastAsia"/>
          <w:sz w:val="24"/>
          <w:lang w:val="en-US" w:eastAsia="zh-CN"/>
        </w:rPr>
        <w:t>2</w:t>
      </w:r>
      <w:r>
        <w:rPr>
          <w:rStyle w:val="20"/>
          <w:sz w:val="24"/>
        </w:rPr>
        <w:fldChar w:fldCharType="end"/>
      </w:r>
      <w:r>
        <w:rPr>
          <w:rStyle w:val="20"/>
          <w:rFonts w:hint="eastAsia"/>
          <w:sz w:val="24"/>
          <w:lang w:val="en-US" w:eastAsia="zh-CN"/>
        </w:rPr>
        <w:t>4</w:t>
      </w:r>
    </w:p>
    <w:p>
      <w:pPr>
        <w:pStyle w:val="14"/>
        <w:tabs>
          <w:tab w:val="left" w:pos="1050"/>
          <w:tab w:val="right" w:leader="dot" w:pos="8302"/>
        </w:tabs>
        <w:rPr>
          <w:rFonts w:hint="eastAsia" w:ascii="等线" w:hAnsi="等线" w:eastAsia="宋体"/>
          <w:sz w:val="24"/>
          <w:lang w:val="en-US" w:eastAsia="zh-CN"/>
        </w:rPr>
      </w:pPr>
      <w:r>
        <w:rPr>
          <w:rStyle w:val="20"/>
          <w:sz w:val="24"/>
        </w:rPr>
        <w:fldChar w:fldCharType="begin"/>
      </w:r>
      <w:r>
        <w:rPr>
          <w:rStyle w:val="20"/>
          <w:sz w:val="24"/>
        </w:rPr>
        <w:instrText xml:space="preserve"> </w:instrText>
      </w:r>
      <w:r>
        <w:rPr>
          <w:sz w:val="24"/>
        </w:rPr>
        <w:instrText xml:space="preserve">HYPERLINK \l "_Toc204157427"</w:instrText>
      </w:r>
      <w:r>
        <w:rPr>
          <w:rStyle w:val="20"/>
          <w:sz w:val="24"/>
        </w:rPr>
        <w:instrText xml:space="preserve"> </w:instrText>
      </w:r>
      <w:r>
        <w:rPr>
          <w:rStyle w:val="20"/>
          <w:sz w:val="24"/>
        </w:rPr>
        <w:fldChar w:fldCharType="separate"/>
      </w:r>
      <w:r>
        <w:rPr>
          <w:rStyle w:val="20"/>
          <w:sz w:val="24"/>
        </w:rPr>
        <w:t>6.4</w:t>
      </w:r>
      <w:r>
        <w:rPr>
          <w:rFonts w:ascii="等线" w:hAnsi="等线" w:eastAsia="等线"/>
          <w:sz w:val="24"/>
        </w:rPr>
        <w:tab/>
      </w:r>
      <w:r>
        <w:rPr>
          <w:rStyle w:val="20"/>
          <w:sz w:val="24"/>
        </w:rPr>
        <w:t>物业管理</w:t>
      </w:r>
      <w:r>
        <w:rPr>
          <w:sz w:val="24"/>
        </w:rPr>
        <w:tab/>
      </w:r>
      <w:r>
        <w:rPr>
          <w:rFonts w:hint="eastAsia"/>
          <w:sz w:val="24"/>
          <w:lang w:val="en-US" w:eastAsia="zh-CN"/>
        </w:rPr>
        <w:t>2</w:t>
      </w:r>
      <w:r>
        <w:rPr>
          <w:rStyle w:val="20"/>
          <w:sz w:val="24"/>
        </w:rPr>
        <w:fldChar w:fldCharType="end"/>
      </w:r>
      <w:r>
        <w:rPr>
          <w:rStyle w:val="20"/>
          <w:rFonts w:hint="eastAsia"/>
          <w:sz w:val="24"/>
          <w:lang w:val="en-US" w:eastAsia="zh-CN"/>
        </w:rPr>
        <w:t>6</w:t>
      </w:r>
    </w:p>
    <w:p>
      <w:pPr>
        <w:pStyle w:val="12"/>
        <w:tabs>
          <w:tab w:val="left" w:pos="284"/>
          <w:tab w:val="right" w:leader="dot" w:pos="8302"/>
        </w:tabs>
        <w:rPr>
          <w:rFonts w:hint="eastAsia" w:ascii="等线" w:hAnsi="等线" w:eastAsia="宋体"/>
          <w:b w:val="0"/>
          <w:sz w:val="24"/>
          <w:szCs w:val="24"/>
          <w:lang w:val="en-US" w:eastAsia="zh-CN"/>
        </w:rPr>
      </w:pPr>
      <w:r>
        <w:rPr>
          <w:rStyle w:val="20"/>
          <w:sz w:val="24"/>
          <w:szCs w:val="24"/>
        </w:rPr>
        <w:fldChar w:fldCharType="begin"/>
      </w:r>
      <w:r>
        <w:rPr>
          <w:rStyle w:val="20"/>
          <w:sz w:val="24"/>
          <w:szCs w:val="24"/>
        </w:rPr>
        <w:instrText xml:space="preserve"> </w:instrText>
      </w:r>
      <w:r>
        <w:rPr>
          <w:sz w:val="24"/>
          <w:szCs w:val="24"/>
        </w:rPr>
        <w:instrText xml:space="preserve">HYPERLINK \l "_Toc204157428"</w:instrText>
      </w:r>
      <w:r>
        <w:rPr>
          <w:rStyle w:val="20"/>
          <w:sz w:val="24"/>
          <w:szCs w:val="24"/>
        </w:rPr>
        <w:instrText xml:space="preserve"> </w:instrText>
      </w:r>
      <w:r>
        <w:rPr>
          <w:rStyle w:val="20"/>
          <w:sz w:val="24"/>
          <w:szCs w:val="24"/>
        </w:rPr>
        <w:fldChar w:fldCharType="separate"/>
      </w:r>
      <w:r>
        <w:rPr>
          <w:rStyle w:val="20"/>
          <w:sz w:val="24"/>
          <w:szCs w:val="24"/>
        </w:rPr>
        <w:t>7</w:t>
      </w:r>
      <w:r>
        <w:rPr>
          <w:rFonts w:ascii="等线" w:hAnsi="等线" w:eastAsia="等线"/>
          <w:b w:val="0"/>
          <w:sz w:val="24"/>
          <w:szCs w:val="24"/>
        </w:rPr>
        <w:tab/>
      </w:r>
      <w:r>
        <w:rPr>
          <w:rStyle w:val="20"/>
          <w:sz w:val="24"/>
          <w:szCs w:val="24"/>
        </w:rPr>
        <w:t>资源节约</w:t>
      </w:r>
      <w:r>
        <w:rPr>
          <w:sz w:val="24"/>
          <w:szCs w:val="24"/>
        </w:rPr>
        <w:tab/>
      </w:r>
      <w:r>
        <w:rPr>
          <w:rFonts w:hint="eastAsia"/>
          <w:sz w:val="24"/>
          <w:szCs w:val="24"/>
          <w:lang w:val="en-US" w:eastAsia="zh-CN"/>
        </w:rPr>
        <w:t>2</w:t>
      </w:r>
      <w:r>
        <w:rPr>
          <w:rStyle w:val="20"/>
          <w:sz w:val="24"/>
          <w:szCs w:val="24"/>
        </w:rPr>
        <w:fldChar w:fldCharType="end"/>
      </w:r>
      <w:r>
        <w:rPr>
          <w:rStyle w:val="20"/>
          <w:rFonts w:hint="eastAsia"/>
          <w:sz w:val="24"/>
          <w:szCs w:val="24"/>
          <w:lang w:val="en-US" w:eastAsia="zh-CN"/>
        </w:rPr>
        <w:t>8</w:t>
      </w:r>
    </w:p>
    <w:p>
      <w:pPr>
        <w:pStyle w:val="14"/>
        <w:tabs>
          <w:tab w:val="left" w:pos="1050"/>
          <w:tab w:val="right" w:leader="dot" w:pos="8302"/>
        </w:tabs>
        <w:rPr>
          <w:rFonts w:hint="eastAsia" w:ascii="等线" w:hAnsi="等线" w:eastAsia="宋体"/>
          <w:sz w:val="24"/>
          <w:lang w:val="en-US" w:eastAsia="zh-CN"/>
        </w:rPr>
      </w:pPr>
      <w:r>
        <w:rPr>
          <w:rStyle w:val="20"/>
          <w:sz w:val="24"/>
        </w:rPr>
        <w:fldChar w:fldCharType="begin"/>
      </w:r>
      <w:r>
        <w:rPr>
          <w:rStyle w:val="20"/>
          <w:sz w:val="24"/>
        </w:rPr>
        <w:instrText xml:space="preserve"> </w:instrText>
      </w:r>
      <w:r>
        <w:rPr>
          <w:sz w:val="24"/>
        </w:rPr>
        <w:instrText xml:space="preserve">HYPERLINK \l "_Toc204157429"</w:instrText>
      </w:r>
      <w:r>
        <w:rPr>
          <w:rStyle w:val="20"/>
          <w:sz w:val="24"/>
        </w:rPr>
        <w:instrText xml:space="preserve"> </w:instrText>
      </w:r>
      <w:r>
        <w:rPr>
          <w:rStyle w:val="20"/>
          <w:sz w:val="24"/>
        </w:rPr>
        <w:fldChar w:fldCharType="separate"/>
      </w:r>
      <w:r>
        <w:rPr>
          <w:rStyle w:val="20"/>
          <w:sz w:val="24"/>
        </w:rPr>
        <w:t>7.1</w:t>
      </w:r>
      <w:r>
        <w:rPr>
          <w:rFonts w:ascii="等线" w:hAnsi="等线" w:eastAsia="等线"/>
          <w:sz w:val="24"/>
        </w:rPr>
        <w:tab/>
      </w:r>
      <w:r>
        <w:rPr>
          <w:rStyle w:val="20"/>
          <w:sz w:val="24"/>
        </w:rPr>
        <w:t>节能与能源利用</w:t>
      </w:r>
      <w:r>
        <w:rPr>
          <w:sz w:val="24"/>
        </w:rPr>
        <w:tab/>
      </w:r>
      <w:r>
        <w:rPr>
          <w:rFonts w:hint="eastAsia"/>
          <w:sz w:val="24"/>
          <w:lang w:val="en-US" w:eastAsia="zh-CN"/>
        </w:rPr>
        <w:t>2</w:t>
      </w:r>
      <w:r>
        <w:rPr>
          <w:rStyle w:val="20"/>
          <w:sz w:val="24"/>
        </w:rPr>
        <w:fldChar w:fldCharType="end"/>
      </w:r>
      <w:r>
        <w:rPr>
          <w:rStyle w:val="20"/>
          <w:rFonts w:hint="eastAsia"/>
          <w:sz w:val="24"/>
          <w:lang w:val="en-US" w:eastAsia="zh-CN"/>
        </w:rPr>
        <w:t>8</w:t>
      </w:r>
    </w:p>
    <w:p>
      <w:pPr>
        <w:pStyle w:val="14"/>
        <w:tabs>
          <w:tab w:val="left" w:pos="1050"/>
          <w:tab w:val="right" w:leader="dot" w:pos="8302"/>
        </w:tabs>
        <w:rPr>
          <w:rFonts w:hint="eastAsia" w:ascii="等线" w:hAnsi="等线" w:eastAsia="宋体"/>
          <w:sz w:val="24"/>
          <w:lang w:val="en-US" w:eastAsia="zh-CN"/>
        </w:rPr>
      </w:pPr>
      <w:r>
        <w:rPr>
          <w:rStyle w:val="20"/>
          <w:sz w:val="24"/>
        </w:rPr>
        <w:fldChar w:fldCharType="begin"/>
      </w:r>
      <w:r>
        <w:rPr>
          <w:rStyle w:val="20"/>
          <w:sz w:val="24"/>
        </w:rPr>
        <w:instrText xml:space="preserve"> </w:instrText>
      </w:r>
      <w:r>
        <w:rPr>
          <w:sz w:val="24"/>
        </w:rPr>
        <w:instrText xml:space="preserve">HYPERLINK \l "_Toc204157430"</w:instrText>
      </w:r>
      <w:r>
        <w:rPr>
          <w:rStyle w:val="20"/>
          <w:sz w:val="24"/>
        </w:rPr>
        <w:instrText xml:space="preserve"> </w:instrText>
      </w:r>
      <w:r>
        <w:rPr>
          <w:rStyle w:val="20"/>
          <w:sz w:val="24"/>
        </w:rPr>
        <w:fldChar w:fldCharType="separate"/>
      </w:r>
      <w:r>
        <w:rPr>
          <w:rStyle w:val="20"/>
          <w:sz w:val="24"/>
        </w:rPr>
        <w:t>7.2</w:t>
      </w:r>
      <w:r>
        <w:rPr>
          <w:rFonts w:ascii="等线" w:hAnsi="等线" w:eastAsia="等线"/>
          <w:sz w:val="24"/>
        </w:rPr>
        <w:tab/>
      </w:r>
      <w:r>
        <w:rPr>
          <w:rStyle w:val="20"/>
          <w:sz w:val="24"/>
        </w:rPr>
        <w:t>节水与水资源利用</w:t>
      </w:r>
      <w:r>
        <w:rPr>
          <w:sz w:val="24"/>
        </w:rPr>
        <w:tab/>
      </w:r>
      <w:r>
        <w:rPr>
          <w:rFonts w:hint="eastAsia"/>
          <w:sz w:val="24"/>
          <w:lang w:val="en-US" w:eastAsia="zh-CN"/>
        </w:rPr>
        <w:t>3</w:t>
      </w:r>
      <w:r>
        <w:rPr>
          <w:rStyle w:val="20"/>
          <w:sz w:val="24"/>
        </w:rPr>
        <w:fldChar w:fldCharType="end"/>
      </w:r>
      <w:r>
        <w:rPr>
          <w:rStyle w:val="20"/>
          <w:rFonts w:hint="eastAsia"/>
          <w:sz w:val="24"/>
          <w:lang w:val="en-US" w:eastAsia="zh-CN"/>
        </w:rPr>
        <w:t>5</w:t>
      </w:r>
    </w:p>
    <w:p>
      <w:pPr>
        <w:pStyle w:val="12"/>
        <w:tabs>
          <w:tab w:val="left" w:pos="284"/>
          <w:tab w:val="right" w:leader="dot" w:pos="8302"/>
        </w:tabs>
        <w:rPr>
          <w:rFonts w:hint="eastAsia" w:ascii="等线" w:hAnsi="等线" w:eastAsia="宋体"/>
          <w:b w:val="0"/>
          <w:sz w:val="24"/>
          <w:szCs w:val="24"/>
          <w:lang w:val="en-US" w:eastAsia="zh-CN"/>
        </w:rPr>
      </w:pPr>
      <w:r>
        <w:rPr>
          <w:rStyle w:val="20"/>
          <w:sz w:val="24"/>
          <w:szCs w:val="24"/>
        </w:rPr>
        <w:fldChar w:fldCharType="begin"/>
      </w:r>
      <w:r>
        <w:rPr>
          <w:rStyle w:val="20"/>
          <w:sz w:val="24"/>
          <w:szCs w:val="24"/>
        </w:rPr>
        <w:instrText xml:space="preserve"> </w:instrText>
      </w:r>
      <w:r>
        <w:rPr>
          <w:sz w:val="24"/>
          <w:szCs w:val="24"/>
        </w:rPr>
        <w:instrText xml:space="preserve">HYPERLINK \l "_Toc204157431"</w:instrText>
      </w:r>
      <w:r>
        <w:rPr>
          <w:rStyle w:val="20"/>
          <w:sz w:val="24"/>
          <w:szCs w:val="24"/>
        </w:rPr>
        <w:instrText xml:space="preserve"> </w:instrText>
      </w:r>
      <w:r>
        <w:rPr>
          <w:rStyle w:val="20"/>
          <w:sz w:val="24"/>
          <w:szCs w:val="24"/>
        </w:rPr>
        <w:fldChar w:fldCharType="separate"/>
      </w:r>
      <w:r>
        <w:rPr>
          <w:rStyle w:val="20"/>
          <w:sz w:val="24"/>
          <w:szCs w:val="24"/>
        </w:rPr>
        <w:t>8</w:t>
      </w:r>
      <w:r>
        <w:rPr>
          <w:rFonts w:ascii="等线" w:hAnsi="等线" w:eastAsia="等线"/>
          <w:b w:val="0"/>
          <w:sz w:val="24"/>
          <w:szCs w:val="24"/>
        </w:rPr>
        <w:tab/>
      </w:r>
      <w:r>
        <w:rPr>
          <w:rStyle w:val="20"/>
          <w:sz w:val="24"/>
          <w:szCs w:val="24"/>
        </w:rPr>
        <w:t>环境宜居</w:t>
      </w:r>
      <w:r>
        <w:rPr>
          <w:sz w:val="24"/>
          <w:szCs w:val="24"/>
        </w:rPr>
        <w:tab/>
      </w:r>
      <w:r>
        <w:rPr>
          <w:rFonts w:hint="eastAsia"/>
          <w:sz w:val="24"/>
          <w:szCs w:val="24"/>
          <w:lang w:val="en-US" w:eastAsia="zh-CN"/>
        </w:rPr>
        <w:t>3</w:t>
      </w:r>
      <w:r>
        <w:rPr>
          <w:rStyle w:val="20"/>
          <w:sz w:val="24"/>
          <w:szCs w:val="24"/>
        </w:rPr>
        <w:fldChar w:fldCharType="end"/>
      </w:r>
      <w:r>
        <w:rPr>
          <w:rStyle w:val="20"/>
          <w:rFonts w:hint="eastAsia"/>
          <w:sz w:val="24"/>
          <w:szCs w:val="24"/>
          <w:lang w:val="en-US" w:eastAsia="zh-CN"/>
        </w:rPr>
        <w:t>7</w:t>
      </w:r>
    </w:p>
    <w:p>
      <w:pPr>
        <w:pStyle w:val="14"/>
        <w:tabs>
          <w:tab w:val="left" w:pos="1050"/>
          <w:tab w:val="right" w:leader="dot" w:pos="8302"/>
        </w:tabs>
        <w:rPr>
          <w:rFonts w:hint="eastAsia" w:ascii="等线" w:hAnsi="等线" w:eastAsia="宋体"/>
          <w:sz w:val="24"/>
          <w:lang w:val="en-US" w:eastAsia="zh-CN"/>
        </w:rPr>
      </w:pPr>
      <w:r>
        <w:rPr>
          <w:rStyle w:val="20"/>
          <w:sz w:val="24"/>
        </w:rPr>
        <w:fldChar w:fldCharType="begin"/>
      </w:r>
      <w:r>
        <w:rPr>
          <w:rStyle w:val="20"/>
          <w:sz w:val="24"/>
        </w:rPr>
        <w:instrText xml:space="preserve"> </w:instrText>
      </w:r>
      <w:r>
        <w:rPr>
          <w:sz w:val="24"/>
        </w:rPr>
        <w:instrText xml:space="preserve">HYPERLINK \l "_Toc204157432"</w:instrText>
      </w:r>
      <w:r>
        <w:rPr>
          <w:rStyle w:val="20"/>
          <w:sz w:val="24"/>
        </w:rPr>
        <w:instrText xml:space="preserve"> </w:instrText>
      </w:r>
      <w:r>
        <w:rPr>
          <w:rStyle w:val="20"/>
          <w:sz w:val="24"/>
        </w:rPr>
        <w:fldChar w:fldCharType="separate"/>
      </w:r>
      <w:r>
        <w:rPr>
          <w:rStyle w:val="20"/>
          <w:sz w:val="24"/>
        </w:rPr>
        <w:t>8.1</w:t>
      </w:r>
      <w:r>
        <w:rPr>
          <w:rFonts w:ascii="等线" w:hAnsi="等线" w:eastAsia="等线"/>
          <w:sz w:val="24"/>
        </w:rPr>
        <w:tab/>
      </w:r>
      <w:r>
        <w:rPr>
          <w:rStyle w:val="20"/>
          <w:sz w:val="24"/>
        </w:rPr>
        <w:t>场地生态与景观</w:t>
      </w:r>
      <w:r>
        <w:rPr>
          <w:sz w:val="24"/>
        </w:rPr>
        <w:tab/>
      </w:r>
      <w:r>
        <w:rPr>
          <w:rFonts w:hint="eastAsia"/>
          <w:sz w:val="24"/>
          <w:lang w:val="en-US" w:eastAsia="zh-CN"/>
        </w:rPr>
        <w:t>3</w:t>
      </w:r>
      <w:r>
        <w:rPr>
          <w:rStyle w:val="20"/>
          <w:sz w:val="24"/>
        </w:rPr>
        <w:fldChar w:fldCharType="end"/>
      </w:r>
      <w:r>
        <w:rPr>
          <w:rStyle w:val="20"/>
          <w:rFonts w:hint="eastAsia"/>
          <w:sz w:val="24"/>
          <w:lang w:val="en-US" w:eastAsia="zh-CN"/>
        </w:rPr>
        <w:t>7</w:t>
      </w:r>
    </w:p>
    <w:p>
      <w:pPr>
        <w:pStyle w:val="14"/>
        <w:tabs>
          <w:tab w:val="left" w:pos="1050"/>
          <w:tab w:val="right" w:leader="dot" w:pos="8302"/>
        </w:tabs>
        <w:rPr>
          <w:rFonts w:hint="eastAsia" w:ascii="等线" w:hAnsi="等线" w:eastAsia="宋体"/>
          <w:sz w:val="24"/>
          <w:lang w:val="en-US" w:eastAsia="zh-CN"/>
        </w:rPr>
      </w:pPr>
      <w:r>
        <w:rPr>
          <w:rStyle w:val="20"/>
          <w:sz w:val="24"/>
        </w:rPr>
        <w:fldChar w:fldCharType="begin"/>
      </w:r>
      <w:r>
        <w:rPr>
          <w:rStyle w:val="20"/>
          <w:sz w:val="24"/>
        </w:rPr>
        <w:instrText xml:space="preserve"> </w:instrText>
      </w:r>
      <w:r>
        <w:rPr>
          <w:sz w:val="24"/>
        </w:rPr>
        <w:instrText xml:space="preserve">HYPERLINK \l "_Toc204157433"</w:instrText>
      </w:r>
      <w:r>
        <w:rPr>
          <w:rStyle w:val="20"/>
          <w:sz w:val="24"/>
        </w:rPr>
        <w:instrText xml:space="preserve"> </w:instrText>
      </w:r>
      <w:r>
        <w:rPr>
          <w:rStyle w:val="20"/>
          <w:sz w:val="24"/>
        </w:rPr>
        <w:fldChar w:fldCharType="separate"/>
      </w:r>
      <w:r>
        <w:rPr>
          <w:rStyle w:val="20"/>
          <w:sz w:val="24"/>
        </w:rPr>
        <w:t>8.2</w:t>
      </w:r>
      <w:r>
        <w:rPr>
          <w:rFonts w:ascii="等线" w:hAnsi="等线" w:eastAsia="等线"/>
          <w:sz w:val="24"/>
        </w:rPr>
        <w:tab/>
      </w:r>
      <w:r>
        <w:rPr>
          <w:rStyle w:val="20"/>
          <w:sz w:val="24"/>
        </w:rPr>
        <w:t>室外环境</w:t>
      </w:r>
      <w:r>
        <w:rPr>
          <w:sz w:val="24"/>
        </w:rPr>
        <w:tab/>
      </w:r>
      <w:r>
        <w:rPr>
          <w:rFonts w:hint="eastAsia"/>
          <w:sz w:val="24"/>
          <w:lang w:val="en-US" w:eastAsia="zh-CN"/>
        </w:rPr>
        <w:t>3</w:t>
      </w:r>
      <w:r>
        <w:rPr>
          <w:rStyle w:val="20"/>
          <w:sz w:val="24"/>
        </w:rPr>
        <w:fldChar w:fldCharType="end"/>
      </w:r>
      <w:r>
        <w:rPr>
          <w:rStyle w:val="20"/>
          <w:rFonts w:hint="eastAsia"/>
          <w:sz w:val="24"/>
          <w:lang w:val="en-US" w:eastAsia="zh-CN"/>
        </w:rPr>
        <w:t>8</w:t>
      </w:r>
    </w:p>
    <w:p>
      <w:pPr>
        <w:pStyle w:val="14"/>
        <w:tabs>
          <w:tab w:val="left" w:pos="1050"/>
          <w:tab w:val="right" w:leader="dot" w:pos="8302"/>
        </w:tabs>
        <w:rPr>
          <w:rFonts w:hint="eastAsia" w:ascii="等线" w:hAnsi="等线" w:eastAsia="宋体"/>
          <w:sz w:val="24"/>
          <w:lang w:val="en-US" w:eastAsia="zh-CN"/>
        </w:rPr>
      </w:pPr>
      <w:r>
        <w:rPr>
          <w:rStyle w:val="20"/>
          <w:sz w:val="24"/>
        </w:rPr>
        <w:fldChar w:fldCharType="begin"/>
      </w:r>
      <w:r>
        <w:rPr>
          <w:rStyle w:val="20"/>
          <w:sz w:val="24"/>
        </w:rPr>
        <w:instrText xml:space="preserve"> </w:instrText>
      </w:r>
      <w:r>
        <w:rPr>
          <w:sz w:val="24"/>
        </w:rPr>
        <w:instrText xml:space="preserve">HYPERLINK \l "_Toc204157434"</w:instrText>
      </w:r>
      <w:r>
        <w:rPr>
          <w:rStyle w:val="20"/>
          <w:sz w:val="24"/>
        </w:rPr>
        <w:instrText xml:space="preserve"> </w:instrText>
      </w:r>
      <w:r>
        <w:rPr>
          <w:rStyle w:val="20"/>
          <w:sz w:val="24"/>
        </w:rPr>
        <w:fldChar w:fldCharType="separate"/>
      </w:r>
      <w:r>
        <w:rPr>
          <w:rStyle w:val="20"/>
          <w:sz w:val="24"/>
        </w:rPr>
        <w:t>8.3</w:t>
      </w:r>
      <w:r>
        <w:rPr>
          <w:rFonts w:ascii="等线" w:hAnsi="等线" w:eastAsia="等线"/>
          <w:sz w:val="24"/>
        </w:rPr>
        <w:tab/>
      </w:r>
      <w:r>
        <w:rPr>
          <w:rStyle w:val="20"/>
          <w:sz w:val="24"/>
        </w:rPr>
        <w:t>污染物</w:t>
      </w:r>
      <w:r>
        <w:rPr>
          <w:sz w:val="24"/>
        </w:rPr>
        <w:tab/>
      </w:r>
      <w:r>
        <w:rPr>
          <w:rFonts w:hint="eastAsia"/>
          <w:sz w:val="24"/>
          <w:lang w:val="en-US" w:eastAsia="zh-CN"/>
        </w:rPr>
        <w:t>4</w:t>
      </w:r>
      <w:r>
        <w:rPr>
          <w:rStyle w:val="20"/>
          <w:sz w:val="24"/>
        </w:rPr>
        <w:fldChar w:fldCharType="end"/>
      </w:r>
      <w:r>
        <w:rPr>
          <w:rStyle w:val="20"/>
          <w:rFonts w:hint="eastAsia"/>
          <w:sz w:val="24"/>
          <w:lang w:val="en-US" w:eastAsia="zh-CN"/>
        </w:rPr>
        <w:t>0</w:t>
      </w:r>
    </w:p>
    <w:p>
      <w:pPr>
        <w:pStyle w:val="12"/>
        <w:tabs>
          <w:tab w:val="left" w:pos="284"/>
          <w:tab w:val="right" w:leader="dot" w:pos="8302"/>
        </w:tabs>
        <w:rPr>
          <w:rFonts w:hint="eastAsia" w:ascii="等线" w:hAnsi="等线" w:eastAsia="宋体"/>
          <w:b w:val="0"/>
          <w:sz w:val="24"/>
          <w:szCs w:val="24"/>
          <w:lang w:val="en-US" w:eastAsia="zh-CN"/>
        </w:rPr>
      </w:pPr>
      <w:r>
        <w:rPr>
          <w:rStyle w:val="20"/>
          <w:sz w:val="24"/>
          <w:szCs w:val="24"/>
        </w:rPr>
        <w:fldChar w:fldCharType="begin"/>
      </w:r>
      <w:r>
        <w:rPr>
          <w:rStyle w:val="20"/>
          <w:sz w:val="24"/>
          <w:szCs w:val="24"/>
        </w:rPr>
        <w:instrText xml:space="preserve"> </w:instrText>
      </w:r>
      <w:r>
        <w:rPr>
          <w:sz w:val="24"/>
          <w:szCs w:val="24"/>
        </w:rPr>
        <w:instrText xml:space="preserve">HYPERLINK \l "_Toc204157435"</w:instrText>
      </w:r>
      <w:r>
        <w:rPr>
          <w:rStyle w:val="20"/>
          <w:sz w:val="24"/>
          <w:szCs w:val="24"/>
        </w:rPr>
        <w:instrText xml:space="preserve"> </w:instrText>
      </w:r>
      <w:r>
        <w:rPr>
          <w:rStyle w:val="20"/>
          <w:sz w:val="24"/>
          <w:szCs w:val="24"/>
        </w:rPr>
        <w:fldChar w:fldCharType="separate"/>
      </w:r>
      <w:r>
        <w:rPr>
          <w:rStyle w:val="20"/>
          <w:sz w:val="24"/>
          <w:szCs w:val="24"/>
        </w:rPr>
        <w:t>9</w:t>
      </w:r>
      <w:r>
        <w:rPr>
          <w:rFonts w:ascii="等线" w:hAnsi="等线" w:eastAsia="等线"/>
          <w:b w:val="0"/>
          <w:sz w:val="24"/>
          <w:szCs w:val="24"/>
        </w:rPr>
        <w:tab/>
      </w:r>
      <w:r>
        <w:rPr>
          <w:rStyle w:val="20"/>
          <w:sz w:val="24"/>
          <w:szCs w:val="24"/>
        </w:rPr>
        <w:t>提高与创新</w:t>
      </w:r>
      <w:r>
        <w:rPr>
          <w:sz w:val="24"/>
          <w:szCs w:val="24"/>
        </w:rPr>
        <w:tab/>
      </w:r>
      <w:r>
        <w:rPr>
          <w:rFonts w:hint="eastAsia"/>
          <w:sz w:val="24"/>
          <w:szCs w:val="24"/>
          <w:lang w:val="en-US" w:eastAsia="zh-CN"/>
        </w:rPr>
        <w:t>4</w:t>
      </w:r>
      <w:r>
        <w:rPr>
          <w:rStyle w:val="20"/>
          <w:sz w:val="24"/>
          <w:szCs w:val="24"/>
        </w:rPr>
        <w:fldChar w:fldCharType="end"/>
      </w:r>
      <w:r>
        <w:rPr>
          <w:rStyle w:val="20"/>
          <w:rFonts w:hint="eastAsia"/>
          <w:sz w:val="24"/>
          <w:szCs w:val="24"/>
          <w:lang w:val="en-US" w:eastAsia="zh-CN"/>
        </w:rPr>
        <w:t>1</w:t>
      </w:r>
    </w:p>
    <w:p>
      <w:pPr>
        <w:pStyle w:val="12"/>
        <w:tabs>
          <w:tab w:val="left" w:pos="284"/>
          <w:tab w:val="right" w:leader="dot" w:pos="8302"/>
        </w:tabs>
        <w:rPr>
          <w:rFonts w:hint="eastAsia" w:ascii="等线" w:hAnsi="等线" w:eastAsia="宋体"/>
          <w:b w:val="0"/>
          <w:sz w:val="24"/>
          <w:szCs w:val="24"/>
          <w:lang w:val="en-US" w:eastAsia="zh-CN"/>
        </w:rPr>
      </w:pPr>
      <w:r>
        <w:rPr>
          <w:rStyle w:val="20"/>
          <w:sz w:val="24"/>
          <w:szCs w:val="24"/>
        </w:rPr>
        <w:fldChar w:fldCharType="begin"/>
      </w:r>
      <w:r>
        <w:rPr>
          <w:rStyle w:val="20"/>
          <w:sz w:val="24"/>
          <w:szCs w:val="24"/>
        </w:rPr>
        <w:instrText xml:space="preserve"> </w:instrText>
      </w:r>
      <w:r>
        <w:rPr>
          <w:sz w:val="24"/>
          <w:szCs w:val="24"/>
        </w:rPr>
        <w:instrText xml:space="preserve">HYPERLINK \l "_Toc204157436"</w:instrText>
      </w:r>
      <w:r>
        <w:rPr>
          <w:rStyle w:val="20"/>
          <w:sz w:val="24"/>
          <w:szCs w:val="24"/>
        </w:rPr>
        <w:instrText xml:space="preserve"> </w:instrText>
      </w:r>
      <w:r>
        <w:rPr>
          <w:rStyle w:val="20"/>
          <w:sz w:val="24"/>
          <w:szCs w:val="24"/>
        </w:rPr>
        <w:fldChar w:fldCharType="separate"/>
      </w:r>
      <w:r>
        <w:rPr>
          <w:rStyle w:val="20"/>
          <w:sz w:val="24"/>
          <w:szCs w:val="24"/>
        </w:rPr>
        <w:t>附录A 检验参数的结果和结论</w:t>
      </w:r>
      <w:r>
        <w:rPr>
          <w:sz w:val="24"/>
          <w:szCs w:val="24"/>
        </w:rPr>
        <w:tab/>
      </w:r>
      <w:r>
        <w:rPr>
          <w:rFonts w:hint="eastAsia"/>
          <w:sz w:val="24"/>
          <w:szCs w:val="24"/>
          <w:lang w:val="en-US" w:eastAsia="zh-CN"/>
        </w:rPr>
        <w:t>4</w:t>
      </w:r>
      <w:r>
        <w:rPr>
          <w:rStyle w:val="20"/>
          <w:sz w:val="24"/>
          <w:szCs w:val="24"/>
        </w:rPr>
        <w:fldChar w:fldCharType="end"/>
      </w:r>
      <w:r>
        <w:rPr>
          <w:rStyle w:val="20"/>
          <w:rFonts w:hint="eastAsia"/>
          <w:sz w:val="24"/>
          <w:szCs w:val="24"/>
          <w:lang w:val="en-US" w:eastAsia="zh-CN"/>
        </w:rPr>
        <w:t>2</w:t>
      </w:r>
    </w:p>
    <w:p>
      <w:pPr>
        <w:pStyle w:val="36"/>
        <w:spacing w:before="0" w:beforeLines="0" w:after="0" w:afterLines="0" w:line="360" w:lineRule="auto"/>
        <w:ind w:left="2337" w:leftChars="113" w:hanging="2100" w:hangingChars="875"/>
        <w:jc w:val="both"/>
        <w:outlineLvl w:val="9"/>
        <w:rPr>
          <w:b w:val="0"/>
          <w:bCs w:val="0"/>
          <w:sz w:val="24"/>
          <w:szCs w:val="24"/>
        </w:rPr>
      </w:pPr>
      <w:r>
        <w:rPr>
          <w:b w:val="0"/>
          <w:bCs w:val="0"/>
          <w:sz w:val="24"/>
          <w:szCs w:val="24"/>
        </w:rPr>
        <w:fldChar w:fldCharType="end"/>
      </w:r>
    </w:p>
    <w:p>
      <w:pPr>
        <w:pStyle w:val="36"/>
        <w:spacing w:before="0" w:beforeLines="0" w:after="0" w:afterLines="0" w:line="360" w:lineRule="auto"/>
        <w:ind w:left="2337" w:leftChars="113" w:hanging="2100" w:hangingChars="875"/>
        <w:jc w:val="both"/>
        <w:outlineLvl w:val="9"/>
        <w:rPr>
          <w:b w:val="0"/>
          <w:bCs w:val="0"/>
          <w:sz w:val="24"/>
          <w:szCs w:val="24"/>
        </w:rPr>
      </w:pPr>
    </w:p>
    <w:p>
      <w:pPr>
        <w:pStyle w:val="36"/>
        <w:spacing w:before="0" w:beforeLines="0" w:after="0" w:afterLines="0" w:line="360" w:lineRule="auto"/>
        <w:ind w:left="2337" w:leftChars="113" w:hanging="2100" w:hangingChars="875"/>
        <w:jc w:val="both"/>
        <w:outlineLvl w:val="9"/>
        <w:rPr>
          <w:b w:val="0"/>
          <w:bCs w:val="0"/>
          <w:sz w:val="24"/>
          <w:szCs w:val="24"/>
        </w:rPr>
      </w:pPr>
    </w:p>
    <w:p>
      <w:pPr>
        <w:sectPr>
          <w:pgSz w:w="11906" w:h="16838"/>
          <w:pgMar w:top="1134" w:right="1797" w:bottom="1134" w:left="1797" w:header="851" w:footer="992" w:gutter="0"/>
          <w:pgNumType w:fmt="decimal"/>
          <w:cols w:space="720" w:num="1"/>
          <w:docGrid w:type="lines" w:linePitch="312" w:charSpace="0"/>
        </w:sectPr>
      </w:pPr>
    </w:p>
    <w:p>
      <w:pPr>
        <w:spacing w:line="240" w:lineRule="auto"/>
        <w:jc w:val="both"/>
        <w:rPr>
          <w:rFonts w:ascii="Times New Roman" w:hAnsi="Times New Roman" w:cs="Times New Roman"/>
          <w:szCs w:val="24"/>
        </w:rPr>
      </w:pPr>
    </w:p>
    <w:p>
      <w:pPr>
        <w:keepNext/>
        <w:keepLines/>
        <w:widowControl w:val="0"/>
        <w:numPr>
          <w:ilvl w:val="0"/>
          <w:numId w:val="0"/>
        </w:numPr>
        <w:spacing w:before="340" w:after="330" w:line="578" w:lineRule="auto"/>
        <w:ind w:left="425" w:leftChars="0" w:hanging="425" w:firstLineChars="0"/>
        <w:jc w:val="center"/>
        <w:outlineLvl w:val="0"/>
        <w:rPr>
          <w:rFonts w:ascii="Times New Roman" w:hAnsi="Times New Roman" w:eastAsia="宋体" w:cs="Times New Roman"/>
          <w:b/>
          <w:bCs/>
          <w:kern w:val="44"/>
          <w:sz w:val="28"/>
          <w:szCs w:val="28"/>
          <w:lang w:val="en-US" w:eastAsia="zh-CN" w:bidi="ar-SA"/>
        </w:rPr>
      </w:pPr>
      <w:bookmarkStart w:id="7" w:name="_Toc204157410"/>
      <w:bookmarkStart w:id="8" w:name="_Hlk204157779"/>
      <w:r>
        <w:rPr>
          <w:rFonts w:hint="eastAsia" w:ascii="Times New Roman" w:hAnsi="Times New Roman" w:eastAsia="宋体" w:cs="Times New Roman"/>
          <w:b/>
          <w:bCs/>
          <w:kern w:val="44"/>
          <w:sz w:val="28"/>
          <w:szCs w:val="28"/>
          <w:lang w:val="en-US" w:eastAsia="zh-CN" w:bidi="ar-SA"/>
        </w:rPr>
        <w:t>1</w:t>
      </w:r>
      <w:r>
        <w:rPr>
          <w:rFonts w:ascii="Times New Roman" w:hAnsi="Times New Roman" w:eastAsia="宋体" w:cs="Times New Roman"/>
          <w:b/>
          <w:bCs/>
          <w:kern w:val="44"/>
          <w:sz w:val="28"/>
          <w:szCs w:val="28"/>
          <w:lang w:val="en-US" w:eastAsia="zh-CN" w:bidi="ar-SA"/>
        </w:rPr>
        <w:t>总 则</w:t>
      </w:r>
      <w:bookmarkEnd w:id="7"/>
    </w:p>
    <w:p>
      <w:pPr>
        <w:widowControl w:val="0"/>
        <w:numPr>
          <w:ilvl w:val="0"/>
          <w:numId w:val="2"/>
        </w:numPr>
        <w:spacing w:before="0" w:after="0" w:line="360" w:lineRule="auto"/>
        <w:ind w:left="420" w:hanging="420"/>
        <w:jc w:val="both"/>
        <w:outlineLvl w:val="9"/>
        <w:rPr>
          <w:rFonts w:ascii="Times New Roman" w:hAnsi="Times New Roman" w:cs="Times New Roman"/>
          <w:szCs w:val="24"/>
        </w:rPr>
      </w:pPr>
      <w:r>
        <w:rPr>
          <w:rFonts w:ascii="Times New Roman" w:hAnsi="Times New Roman" w:eastAsia="宋体" w:cs="Times New Roman"/>
          <w:b w:val="0"/>
          <w:bCs/>
          <w:kern w:val="28"/>
          <w:sz w:val="24"/>
          <w:szCs w:val="32"/>
          <w:lang w:val="zh-CN" w:eastAsia="zh-CN" w:bidi="ar-SA"/>
        </w:rPr>
        <w:t>为贯彻国家、广东省和深圳市技术经济政策，规范深圳市绿色建筑运行</w:t>
      </w:r>
      <w:r>
        <w:rPr>
          <w:rFonts w:hint="eastAsia" w:cs="Times New Roman"/>
          <w:b w:val="0"/>
          <w:bCs/>
          <w:kern w:val="28"/>
          <w:sz w:val="24"/>
          <w:szCs w:val="32"/>
          <w:lang w:val="en-US" w:eastAsia="zh-CN" w:bidi="ar-SA"/>
        </w:rPr>
        <w:t xml:space="preserve"> </w:t>
      </w:r>
    </w:p>
    <w:p>
      <w:pPr>
        <w:widowControl w:val="0"/>
        <w:numPr>
          <w:ilvl w:val="0"/>
          <w:numId w:val="0"/>
        </w:numPr>
        <w:spacing w:before="0" w:after="0" w:line="360" w:lineRule="auto"/>
        <w:ind w:leftChars="0"/>
        <w:jc w:val="both"/>
        <w:outlineLvl w:val="9"/>
        <w:rPr>
          <w:rFonts w:ascii="Times New Roman" w:hAnsi="Times New Roman" w:cs="Times New Roman"/>
          <w:szCs w:val="24"/>
        </w:rPr>
      </w:pPr>
      <w:r>
        <w:rPr>
          <w:rFonts w:ascii="Times New Roman" w:hAnsi="Times New Roman" w:eastAsia="宋体" w:cs="Times New Roman"/>
          <w:b w:val="0"/>
          <w:bCs/>
          <w:kern w:val="28"/>
          <w:sz w:val="24"/>
          <w:szCs w:val="32"/>
          <w:lang w:val="zh-CN" w:eastAsia="zh-CN" w:bidi="ar-SA"/>
        </w:rPr>
        <w:t>效果的检验方法，修订本规程。</w:t>
      </w:r>
    </w:p>
    <w:p>
      <w:pPr>
        <w:widowControl w:val="0"/>
        <w:numPr>
          <w:ilvl w:val="0"/>
          <w:numId w:val="2"/>
        </w:numPr>
        <w:spacing w:before="0" w:after="0" w:line="360" w:lineRule="auto"/>
        <w:ind w:left="420" w:hanging="42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本规程适用于深圳市绿色建筑运行效果及相关性能的检验。</w:t>
      </w:r>
    </w:p>
    <w:p>
      <w:pPr>
        <w:widowControl w:val="0"/>
        <w:numPr>
          <w:ilvl w:val="0"/>
          <w:numId w:val="2"/>
        </w:numPr>
        <w:spacing w:before="0" w:after="0" w:line="360" w:lineRule="auto"/>
        <w:ind w:left="420" w:hanging="42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绿色建筑</w:t>
      </w:r>
      <w:r>
        <w:rPr>
          <w:rFonts w:ascii="Times New Roman" w:hAnsi="Times New Roman" w:eastAsia="宋体" w:cs="Times New Roman"/>
          <w:b w:val="0"/>
          <w:bCs/>
          <w:kern w:val="28"/>
          <w:sz w:val="24"/>
          <w:szCs w:val="32"/>
          <w:lang w:val="zh-CN" w:eastAsia="zh" w:bidi="ar-SA"/>
        </w:rPr>
        <w:t>运行效果及相关性能的检验</w:t>
      </w:r>
      <w:r>
        <w:rPr>
          <w:rFonts w:ascii="Times New Roman" w:hAnsi="Times New Roman" w:eastAsia="宋体" w:cs="Times New Roman"/>
          <w:b w:val="0"/>
          <w:bCs/>
          <w:kern w:val="28"/>
          <w:sz w:val="24"/>
          <w:szCs w:val="32"/>
          <w:lang w:val="zh-CN" w:eastAsia="zh-CN" w:bidi="ar-SA"/>
        </w:rPr>
        <w:t>除应符合本规程的规定外，尚应符</w:t>
      </w:r>
    </w:p>
    <w:p>
      <w:pPr>
        <w:widowControl w:val="0"/>
        <w:numPr>
          <w:ilvl w:val="0"/>
          <w:numId w:val="0"/>
        </w:numPr>
        <w:spacing w:before="0" w:after="0" w:line="360" w:lineRule="auto"/>
        <w:ind w:leftChars="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合国家、广东省及深圳市现行相关标准的规定。</w:t>
      </w:r>
    </w:p>
    <w:p>
      <w:pPr>
        <w:widowControl w:val="0"/>
        <w:numPr>
          <w:ilvl w:val="0"/>
          <w:numId w:val="0"/>
        </w:numPr>
        <w:spacing w:before="0" w:after="0" w:line="360" w:lineRule="auto"/>
        <w:ind w:leftChars="0"/>
        <w:jc w:val="both"/>
        <w:outlineLvl w:val="9"/>
        <w:rPr>
          <w:rFonts w:ascii="Times New Roman" w:hAnsi="Times New Roman" w:eastAsia="宋体" w:cs="Times New Roman"/>
          <w:b w:val="0"/>
          <w:bCs/>
          <w:kern w:val="28"/>
          <w:sz w:val="24"/>
          <w:szCs w:val="32"/>
          <w:lang w:val="zh-CN" w:eastAsia="zh-CN" w:bidi="ar-SA"/>
        </w:rPr>
      </w:pPr>
    </w:p>
    <w:p>
      <w:pPr>
        <w:spacing w:line="240" w:lineRule="auto"/>
        <w:jc w:val="both"/>
        <w:rPr>
          <w:rFonts w:ascii="Times New Roman" w:hAnsi="Times New Roman" w:cs="Times New Roman"/>
          <w:szCs w:val="24"/>
        </w:rPr>
      </w:pPr>
    </w:p>
    <w:p>
      <w:pPr>
        <w:spacing w:line="240" w:lineRule="auto"/>
        <w:jc w:val="both"/>
        <w:rPr>
          <w:rFonts w:ascii="Times New Roman" w:hAnsi="Times New Roman" w:cs="Times New Roman"/>
          <w:szCs w:val="24"/>
          <w:lang w:val="zh-CN"/>
        </w:rPr>
      </w:pPr>
    </w:p>
    <w:p>
      <w:pPr>
        <w:spacing w:line="240" w:lineRule="auto"/>
        <w:jc w:val="both"/>
        <w:rPr>
          <w:rFonts w:ascii="Times New Roman" w:hAnsi="Times New Roman" w:cs="Times New Roman"/>
          <w:szCs w:val="24"/>
          <w:lang w:val="zh-CN"/>
        </w:rPr>
      </w:pPr>
    </w:p>
    <w:p>
      <w:pPr>
        <w:spacing w:line="240" w:lineRule="auto"/>
        <w:jc w:val="both"/>
        <w:rPr>
          <w:rFonts w:ascii="Times New Roman" w:hAnsi="Times New Roman" w:cs="Times New Roman"/>
          <w:szCs w:val="24"/>
          <w:lang w:val="zh-CN"/>
        </w:rPr>
      </w:pPr>
    </w:p>
    <w:p>
      <w:pPr>
        <w:rPr>
          <w:lang w:val="zh-CN"/>
        </w:rPr>
        <w:sectPr>
          <w:headerReference r:id="rId9" w:type="default"/>
          <w:footerReference r:id="rId10" w:type="default"/>
          <w:pgSz w:w="11906" w:h="16838"/>
          <w:pgMar w:top="1440" w:right="1800" w:bottom="1440" w:left="1800" w:header="851" w:footer="992" w:gutter="0"/>
          <w:pgNumType w:fmt="decimal" w:start="1"/>
          <w:cols w:space="720" w:num="1"/>
          <w:docGrid w:type="lines" w:linePitch="312" w:charSpace="0"/>
        </w:sectPr>
      </w:pPr>
    </w:p>
    <w:p>
      <w:pPr>
        <w:keepNext/>
        <w:keepLines/>
        <w:widowControl w:val="0"/>
        <w:numPr>
          <w:ilvl w:val="0"/>
          <w:numId w:val="0"/>
        </w:numPr>
        <w:spacing w:before="340" w:after="330" w:line="578" w:lineRule="auto"/>
        <w:ind w:left="425" w:leftChars="0" w:hanging="425" w:firstLineChars="0"/>
        <w:jc w:val="center"/>
        <w:outlineLvl w:val="0"/>
        <w:rPr>
          <w:rFonts w:ascii="Times New Roman" w:hAnsi="Times New Roman" w:eastAsia="宋体" w:cs="Times New Roman"/>
          <w:b/>
          <w:bCs/>
          <w:kern w:val="44"/>
          <w:sz w:val="28"/>
          <w:szCs w:val="28"/>
          <w:lang w:val="en-US" w:eastAsia="zh-CN" w:bidi="ar-SA"/>
        </w:rPr>
      </w:pPr>
      <w:bookmarkStart w:id="9" w:name="_Toc204157411"/>
      <w:r>
        <w:rPr>
          <w:rFonts w:hint="eastAsia" w:ascii="Times New Roman" w:hAnsi="Times New Roman" w:eastAsia="宋体" w:cs="Times New Roman"/>
          <w:b/>
          <w:bCs/>
          <w:kern w:val="44"/>
          <w:sz w:val="28"/>
          <w:szCs w:val="28"/>
          <w:lang w:val="en-US" w:eastAsia="zh-CN" w:bidi="ar-SA"/>
        </w:rPr>
        <w:t>2</w:t>
      </w:r>
      <w:r>
        <w:rPr>
          <w:rFonts w:ascii="Times New Roman" w:hAnsi="Times New Roman" w:eastAsia="宋体" w:cs="Times New Roman"/>
          <w:b/>
          <w:bCs/>
          <w:kern w:val="44"/>
          <w:sz w:val="28"/>
          <w:szCs w:val="28"/>
          <w:lang w:val="en-US" w:eastAsia="zh-CN" w:bidi="ar-SA"/>
        </w:rPr>
        <w:t>术 语</w:t>
      </w:r>
      <w:bookmarkEnd w:id="9"/>
    </w:p>
    <w:p>
      <w:pPr>
        <w:widowControl w:val="0"/>
        <w:numPr>
          <w:ilvl w:val="0"/>
          <w:numId w:val="3"/>
        </w:numPr>
        <w:spacing w:before="0" w:after="0" w:line="360" w:lineRule="auto"/>
        <w:ind w:left="420" w:hanging="42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绿色建筑运行检验</w:t>
      </w:r>
    </w:p>
    <w:p>
      <w:pPr>
        <w:spacing w:line="360" w:lineRule="auto"/>
        <w:ind w:firstLine="480" w:firstLineChars="200"/>
        <w:jc w:val="both"/>
        <w:rPr>
          <w:rFonts w:ascii="Times New Roman" w:hAnsi="Times New Roman" w:cs="Times New Roman"/>
          <w:sz w:val="24"/>
          <w:szCs w:val="24"/>
        </w:rPr>
      </w:pPr>
      <w:r>
        <w:rPr>
          <w:rFonts w:ascii="Times New Roman" w:hAnsi="Times New Roman" w:cs="Times New Roman"/>
          <w:sz w:val="24"/>
          <w:szCs w:val="24"/>
        </w:rPr>
        <w:t>采用查阅、检测、核查、计算、模拟分析等方法，对绿色建筑的运行效果和相关性能进行检验，确定其与特定要求的符合性，或在专业判断的基础上确定其与通用要求的符合性。</w:t>
      </w:r>
    </w:p>
    <w:p>
      <w:pPr>
        <w:widowControl w:val="0"/>
        <w:numPr>
          <w:ilvl w:val="0"/>
          <w:numId w:val="3"/>
        </w:numPr>
        <w:spacing w:before="0" w:after="0" w:line="360" w:lineRule="auto"/>
        <w:ind w:left="420" w:hanging="42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频闪效应可视度</w:t>
      </w:r>
    </w:p>
    <w:p>
      <w:pPr>
        <w:spacing w:line="360" w:lineRule="auto"/>
        <w:ind w:firstLine="480" w:firstLineChars="200"/>
        <w:jc w:val="both"/>
        <w:rPr>
          <w:rFonts w:ascii="Times New Roman" w:hAnsi="Times New Roman" w:cs="Times New Roman"/>
          <w:sz w:val="24"/>
          <w:szCs w:val="24"/>
        </w:rPr>
      </w:pPr>
      <w:r>
        <w:rPr>
          <w:rFonts w:ascii="Times New Roman" w:hAnsi="Times New Roman" w:cs="Times New Roman"/>
          <w:sz w:val="24"/>
          <w:szCs w:val="24"/>
        </w:rPr>
        <w:t>光输出频率范围为80 Hz ~2000Hz时，短期内频闪效应影响程度的度量</w:t>
      </w:r>
      <w:r>
        <w:rPr>
          <w:rFonts w:hint="eastAsia" w:cs="Times New Roman"/>
          <w:sz w:val="24"/>
          <w:szCs w:val="24"/>
          <w:lang w:eastAsia="zh-CN"/>
        </w:rPr>
        <w:t>，</w:t>
      </w:r>
      <w:r>
        <w:rPr>
          <w:rFonts w:hint="eastAsia" w:cs="Times New Roman"/>
          <w:sz w:val="24"/>
          <w:szCs w:val="24"/>
          <w:lang w:val="en-US" w:eastAsia="zh-CN"/>
        </w:rPr>
        <w:t>简称为</w:t>
      </w:r>
      <w:r>
        <w:rPr>
          <w:rFonts w:ascii="Times New Roman" w:hAnsi="Times New Roman" w:eastAsia="宋体" w:cs="Times New Roman"/>
          <w:b w:val="0"/>
          <w:bCs/>
          <w:kern w:val="28"/>
          <w:sz w:val="24"/>
          <w:szCs w:val="32"/>
          <w:lang w:val="zh-CN" w:eastAsia="zh-CN" w:bidi="ar-SA"/>
        </w:rPr>
        <w:t>SVM</w:t>
      </w:r>
      <w:r>
        <w:rPr>
          <w:rFonts w:hint="eastAsia" w:cs="Times New Roman"/>
          <w:b w:val="0"/>
          <w:bCs/>
          <w:kern w:val="28"/>
          <w:sz w:val="24"/>
          <w:szCs w:val="32"/>
          <w:lang w:val="zh-CN" w:eastAsia="zh-CN" w:bidi="ar-SA"/>
        </w:rPr>
        <w:t>。</w:t>
      </w:r>
    </w:p>
    <w:p>
      <w:pPr>
        <w:widowControl w:val="0"/>
        <w:numPr>
          <w:ilvl w:val="0"/>
          <w:numId w:val="3"/>
        </w:numPr>
        <w:spacing w:before="0" w:after="0" w:line="360" w:lineRule="auto"/>
        <w:ind w:left="420" w:hanging="42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w:t>
      </w:r>
    </w:p>
    <w:p>
      <w:pPr>
        <w:spacing w:line="360" w:lineRule="auto"/>
        <w:ind w:firstLine="480" w:firstLineChars="200"/>
        <w:jc w:val="both"/>
        <w:rPr>
          <w:rFonts w:ascii="Times New Roman" w:hAnsi="Times New Roman" w:cs="Times New Roman"/>
          <w:sz w:val="24"/>
          <w:szCs w:val="24"/>
        </w:rPr>
      </w:pPr>
      <w:r>
        <w:rPr>
          <w:rFonts w:ascii="Times New Roman" w:hAnsi="Times New Roman" w:cs="Times New Roman"/>
          <w:sz w:val="24"/>
          <w:szCs w:val="24"/>
        </w:rPr>
        <w:t>是对产品的一种或多种特性进行测量、检查、试验或度量（包括计算），并将结果与规定的要求进行比较以确定是否合格的活动。</w:t>
      </w:r>
    </w:p>
    <w:p>
      <w:pPr>
        <w:widowControl w:val="0"/>
        <w:numPr>
          <w:ilvl w:val="0"/>
          <w:numId w:val="3"/>
        </w:numPr>
        <w:spacing w:before="0" w:after="0" w:line="360" w:lineRule="auto"/>
        <w:ind w:left="420" w:hanging="42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检验报告</w:t>
      </w:r>
    </w:p>
    <w:p>
      <w:pPr>
        <w:spacing w:line="360" w:lineRule="auto"/>
        <w:ind w:firstLine="480" w:firstLineChars="200"/>
        <w:sectPr>
          <w:pgSz w:w="11906" w:h="16838"/>
          <w:pgMar w:top="1440" w:right="1800" w:bottom="1440" w:left="1800" w:header="851" w:footer="992" w:gutter="0"/>
          <w:pgNumType w:fmt="decimal"/>
          <w:cols w:space="720" w:num="1"/>
          <w:docGrid w:type="lines" w:linePitch="312" w:charSpace="0"/>
        </w:sectPr>
      </w:pPr>
      <w:r>
        <w:rPr>
          <w:rFonts w:ascii="Times New Roman" w:hAnsi="Times New Roman" w:cs="Times New Roman"/>
          <w:sz w:val="24"/>
          <w:szCs w:val="24"/>
        </w:rPr>
        <w:t>基于检验后明确给出合格或不合格结论的文件。</w:t>
      </w:r>
    </w:p>
    <w:p>
      <w:pPr>
        <w:keepNext/>
        <w:keepLines/>
        <w:widowControl w:val="0"/>
        <w:numPr>
          <w:ilvl w:val="0"/>
          <w:numId w:val="0"/>
        </w:numPr>
        <w:spacing w:before="340" w:after="330" w:line="578" w:lineRule="auto"/>
        <w:ind w:left="425" w:leftChars="0" w:hanging="425" w:firstLineChars="0"/>
        <w:jc w:val="center"/>
        <w:outlineLvl w:val="0"/>
        <w:rPr>
          <w:rFonts w:ascii="Times New Roman" w:hAnsi="Times New Roman" w:eastAsia="宋体" w:cs="Times New Roman"/>
          <w:b/>
          <w:bCs/>
          <w:kern w:val="44"/>
          <w:sz w:val="28"/>
          <w:szCs w:val="28"/>
          <w:lang w:val="en-US" w:eastAsia="zh-CN" w:bidi="ar-SA"/>
        </w:rPr>
      </w:pPr>
      <w:bookmarkStart w:id="10" w:name="_Toc93998964"/>
      <w:bookmarkStart w:id="11" w:name="_Toc93999725"/>
      <w:bookmarkStart w:id="12" w:name="_Toc204157412"/>
      <w:r>
        <w:rPr>
          <w:rFonts w:hint="eastAsia" w:ascii="Times New Roman" w:hAnsi="Times New Roman" w:eastAsia="宋体" w:cs="Times New Roman"/>
          <w:b/>
          <w:bCs/>
          <w:kern w:val="44"/>
          <w:sz w:val="28"/>
          <w:szCs w:val="28"/>
          <w:lang w:val="en-US" w:eastAsia="zh-CN" w:bidi="ar-SA"/>
        </w:rPr>
        <w:t>3</w:t>
      </w:r>
      <w:r>
        <w:rPr>
          <w:rFonts w:ascii="Times New Roman" w:hAnsi="Times New Roman" w:eastAsia="宋体" w:cs="Times New Roman"/>
          <w:b/>
          <w:bCs/>
          <w:kern w:val="44"/>
          <w:sz w:val="28"/>
          <w:szCs w:val="28"/>
          <w:lang w:val="en-US" w:eastAsia="zh-CN" w:bidi="ar-SA"/>
        </w:rPr>
        <w:t>基本规定</w:t>
      </w:r>
      <w:bookmarkEnd w:id="10"/>
      <w:bookmarkEnd w:id="11"/>
      <w:bookmarkEnd w:id="12"/>
    </w:p>
    <w:p>
      <w:pPr>
        <w:widowControl w:val="0"/>
        <w:numPr>
          <w:ilvl w:val="0"/>
          <w:numId w:val="0"/>
        </w:numPr>
        <w:spacing w:before="0" w:after="0" w:line="360" w:lineRule="auto"/>
        <w:ind w:left="420" w:leftChars="0" w:hanging="420" w:firstLineChars="0"/>
        <w:jc w:val="both"/>
        <w:outlineLvl w:val="9"/>
        <w:rPr>
          <w:rFonts w:hint="eastAsia" w:ascii="Times New Roman" w:hAnsi="Times New Roman" w:eastAsia="宋体" w:cs="Times New Roman"/>
          <w:b w:val="0"/>
          <w:bCs/>
          <w:kern w:val="28"/>
          <w:sz w:val="24"/>
          <w:szCs w:val="32"/>
          <w:lang w:val="zh-CN" w:eastAsia="zh" w:bidi="ar-SA"/>
        </w:rPr>
      </w:pPr>
      <w:r>
        <w:rPr>
          <w:rFonts w:hint="eastAsia" w:ascii="Times New Roman" w:hAnsi="Times New Roman" w:eastAsia="宋体" w:cs="Times New Roman"/>
          <w:b/>
          <w:bCs/>
          <w:kern w:val="28"/>
          <w:sz w:val="24"/>
          <w:szCs w:val="24"/>
          <w:lang w:val="zh-CN" w:eastAsia="zh-CN" w:bidi="ar-SA"/>
        </w:rPr>
        <w:t>3.0.1</w:t>
      </w:r>
      <w:r>
        <w:rPr>
          <w:rFonts w:hint="eastAsia" w:cs="Times New Roman"/>
          <w:b/>
          <w:bCs/>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绿色建筑</w:t>
      </w:r>
      <w:r>
        <w:rPr>
          <w:rFonts w:ascii="Times New Roman" w:hAnsi="Times New Roman" w:eastAsia="宋体" w:cs="Times New Roman"/>
          <w:b w:val="0"/>
          <w:bCs/>
          <w:kern w:val="28"/>
          <w:sz w:val="24"/>
          <w:szCs w:val="32"/>
          <w:lang w:val="zh-CN" w:eastAsia="zh" w:bidi="ar-SA"/>
        </w:rPr>
        <w:t>在运行阶段应对安全耐久、健康舒适、生活便利、资源节约</w:t>
      </w:r>
      <w:r>
        <w:rPr>
          <w:rFonts w:hint="eastAsia" w:ascii="Times New Roman" w:hAnsi="Times New Roman" w:eastAsia="宋体" w:cs="Times New Roman"/>
          <w:b w:val="0"/>
          <w:bCs/>
          <w:kern w:val="28"/>
          <w:sz w:val="24"/>
          <w:szCs w:val="32"/>
          <w:lang w:val="zh-CN" w:eastAsia="zh" w:bidi="ar-SA"/>
        </w:rPr>
        <w:t>和</w:t>
      </w:r>
    </w:p>
    <w:p>
      <w:pPr>
        <w:widowControl w:val="0"/>
        <w:numPr>
          <w:ilvl w:val="0"/>
          <w:numId w:val="0"/>
        </w:numPr>
        <w:spacing w:before="0" w:after="0" w:line="360" w:lineRule="auto"/>
        <w:ind w:left="420" w:leftChars="0" w:hanging="420" w:firstLineChars="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 w:bidi="ar-SA"/>
        </w:rPr>
        <w:t>环境宜居等方面所实现的效果与相关性能进行检验</w:t>
      </w:r>
      <w:r>
        <w:rPr>
          <w:rFonts w:ascii="Times New Roman" w:hAnsi="Times New Roman" w:eastAsia="宋体" w:cs="Times New Roman"/>
          <w:b w:val="0"/>
          <w:bCs/>
          <w:kern w:val="28"/>
          <w:sz w:val="24"/>
          <w:szCs w:val="32"/>
          <w:lang w:val="zh-CN" w:eastAsia="zh-CN" w:bidi="ar-SA"/>
        </w:rPr>
        <w:t>。</w:t>
      </w:r>
    </w:p>
    <w:p>
      <w:pPr>
        <w:widowControl w:val="0"/>
        <w:numPr>
          <w:ilvl w:val="0"/>
          <w:numId w:val="0"/>
        </w:numPr>
        <w:spacing w:before="0" w:after="0" w:line="360" w:lineRule="auto"/>
        <w:ind w:left="420" w:leftChars="0" w:hanging="420" w:firstLineChars="0"/>
        <w:jc w:val="both"/>
        <w:outlineLvl w:val="9"/>
        <w:rPr>
          <w:rFonts w:ascii="Times New Roman" w:hAnsi="Times New Roman" w:eastAsia="宋体" w:cs="Times New Roman"/>
          <w:b w:val="0"/>
          <w:bCs/>
          <w:kern w:val="28"/>
          <w:sz w:val="24"/>
          <w:szCs w:val="32"/>
          <w:lang w:val="zh-CN" w:eastAsia="zh" w:bidi="ar-SA"/>
        </w:rPr>
      </w:pPr>
      <w:r>
        <w:rPr>
          <w:rFonts w:hint="eastAsia" w:ascii="Times New Roman" w:hAnsi="Times New Roman" w:eastAsia="宋体" w:cs="Times New Roman"/>
          <w:b/>
          <w:bCs/>
          <w:kern w:val="28"/>
          <w:sz w:val="24"/>
          <w:szCs w:val="24"/>
          <w:lang w:val="zh-CN" w:eastAsia="zh-CN" w:bidi="ar-SA"/>
        </w:rPr>
        <w:t>3.0.2</w:t>
      </w:r>
      <w:r>
        <w:rPr>
          <w:rFonts w:hint="eastAsia" w:cs="Times New Roman"/>
          <w:b/>
          <w:bCs/>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绿色建筑</w:t>
      </w:r>
      <w:r>
        <w:rPr>
          <w:rFonts w:ascii="Times New Roman" w:hAnsi="Times New Roman" w:eastAsia="宋体" w:cs="Times New Roman"/>
          <w:b w:val="0"/>
          <w:bCs/>
          <w:kern w:val="28"/>
          <w:sz w:val="24"/>
          <w:szCs w:val="32"/>
          <w:lang w:val="zh-CN" w:eastAsia="zh" w:bidi="ar-SA"/>
        </w:rPr>
        <w:t>运行效果及相关性能宜符合《深圳经济特区绿色建筑条例》的</w:t>
      </w:r>
    </w:p>
    <w:p>
      <w:pPr>
        <w:widowControl w:val="0"/>
        <w:numPr>
          <w:ilvl w:val="0"/>
          <w:numId w:val="0"/>
        </w:numPr>
        <w:spacing w:before="0" w:after="0" w:line="360" w:lineRule="auto"/>
        <w:ind w:left="420" w:leftChars="0" w:hanging="420" w:firstLineChars="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 w:bidi="ar-SA"/>
        </w:rPr>
        <w:t>有关规定，且不应低于项目所确定的绿色建筑等级要求</w:t>
      </w:r>
      <w:r>
        <w:rPr>
          <w:rFonts w:ascii="Times New Roman" w:hAnsi="Times New Roman" w:eastAsia="宋体" w:cs="Times New Roman"/>
          <w:b w:val="0"/>
          <w:bCs/>
          <w:kern w:val="28"/>
          <w:sz w:val="24"/>
          <w:szCs w:val="32"/>
          <w:lang w:val="zh-CN" w:eastAsia="zh-CN" w:bidi="ar-SA"/>
        </w:rPr>
        <w:t>。</w:t>
      </w:r>
    </w:p>
    <w:p>
      <w:pPr>
        <w:widowControl w:val="0"/>
        <w:numPr>
          <w:ilvl w:val="0"/>
          <w:numId w:val="0"/>
        </w:numPr>
        <w:spacing w:before="0" w:after="0" w:line="360" w:lineRule="auto"/>
        <w:ind w:left="420" w:leftChars="0" w:hanging="420" w:firstLineChars="0"/>
        <w:jc w:val="both"/>
        <w:outlineLvl w:val="9"/>
        <w:rPr>
          <w:rFonts w:ascii="Times New Roman" w:hAnsi="Times New Roman" w:eastAsia="宋体" w:cs="Times New Roman"/>
          <w:b w:val="0"/>
          <w:bCs/>
          <w:kern w:val="28"/>
          <w:sz w:val="24"/>
          <w:szCs w:val="32"/>
          <w:lang w:val="zh-CN" w:eastAsia="zh-CN" w:bidi="ar-SA"/>
        </w:rPr>
      </w:pPr>
      <w:r>
        <w:rPr>
          <w:rFonts w:hint="eastAsia" w:ascii="Times New Roman" w:hAnsi="Times New Roman" w:eastAsia="宋体" w:cs="Times New Roman"/>
          <w:b/>
          <w:bCs/>
          <w:kern w:val="28"/>
          <w:sz w:val="24"/>
          <w:szCs w:val="24"/>
          <w:lang w:val="zh-CN" w:eastAsia="zh-CN" w:bidi="ar-SA"/>
        </w:rPr>
        <w:t>3.0.3</w:t>
      </w:r>
      <w:r>
        <w:rPr>
          <w:rFonts w:hint="eastAsia" w:cs="Times New Roman"/>
          <w:b/>
          <w:bCs/>
          <w:kern w:val="28"/>
          <w:sz w:val="24"/>
          <w:szCs w:val="24"/>
          <w:lang w:val="en-US" w:eastAsia="zh-CN" w:bidi="ar-SA"/>
        </w:rPr>
        <w:t xml:space="preserve">   </w:t>
      </w:r>
      <w:r>
        <w:rPr>
          <w:rFonts w:ascii="Times New Roman" w:hAnsi="Times New Roman" w:eastAsia="宋体" w:cs="Times New Roman"/>
          <w:b w:val="0"/>
          <w:bCs w:val="0"/>
          <w:kern w:val="28"/>
          <w:sz w:val="24"/>
          <w:szCs w:val="24"/>
          <w:lang w:val="en-US" w:eastAsia="zh-CN" w:bidi="ar"/>
        </w:rPr>
        <w:t>在进行绿色建筑运行效果及相关性能检验时，检验单位应符合下列要求：</w:t>
      </w:r>
    </w:p>
    <w:p>
      <w:pPr>
        <w:spacing w:line="360" w:lineRule="auto"/>
        <w:ind w:firstLine="481" w:firstLineChars="200"/>
        <w:jc w:val="both"/>
        <w:rPr>
          <w:rFonts w:ascii="Times New Roman" w:hAnsi="Times New Roman" w:cs="Times New Roman"/>
          <w:sz w:val="24"/>
          <w:szCs w:val="24"/>
          <w:lang w:bidi="ar"/>
        </w:rPr>
      </w:pPr>
      <w:r>
        <w:rPr>
          <w:rFonts w:hint="default" w:ascii="Times New Roman" w:hAnsi="Times New Roman" w:cs="Times New Roman"/>
          <w:b/>
          <w:bCs/>
          <w:sz w:val="24"/>
          <w:szCs w:val="24"/>
          <w:lang w:bidi="ar"/>
        </w:rPr>
        <w:t>1</w:t>
      </w:r>
      <w:r>
        <w:rPr>
          <w:rFonts w:ascii="Times New Roman" w:hAnsi="Times New Roman" w:cs="Times New Roman"/>
          <w:sz w:val="24"/>
          <w:szCs w:val="24"/>
          <w:lang w:bidi="ar"/>
        </w:rPr>
        <w:t xml:space="preserve">  应配备足够数量、具备相应专业知识背景及技术能力的全职专业技术人员；宜具备绿色建筑专业中级及以上技术职称或同等能力。</w:t>
      </w:r>
    </w:p>
    <w:p>
      <w:pPr>
        <w:spacing w:line="360" w:lineRule="auto"/>
        <w:ind w:firstLine="481" w:firstLineChars="200"/>
        <w:jc w:val="both"/>
        <w:rPr>
          <w:rFonts w:ascii="Times New Roman" w:hAnsi="Times New Roman" w:cs="Times New Roman"/>
          <w:sz w:val="24"/>
          <w:szCs w:val="24"/>
          <w:lang w:bidi="ar"/>
        </w:rPr>
      </w:pPr>
      <w:r>
        <w:rPr>
          <w:rFonts w:ascii="Times New Roman" w:hAnsi="Times New Roman" w:cs="Times New Roman"/>
          <w:b/>
          <w:bCs/>
          <w:sz w:val="24"/>
          <w:szCs w:val="24"/>
          <w:lang w:bidi="ar"/>
        </w:rPr>
        <w:t>2</w:t>
      </w:r>
      <w:r>
        <w:rPr>
          <w:rFonts w:ascii="Times New Roman" w:hAnsi="Times New Roman" w:cs="Times New Roman"/>
          <w:sz w:val="24"/>
          <w:szCs w:val="24"/>
          <w:lang w:bidi="ar"/>
        </w:rPr>
        <w:t xml:space="preserve">  应配备满足绿色建筑运行效果及相关性能检验所需的、符合检测方法要求的专业仪器设备。</w:t>
      </w:r>
    </w:p>
    <w:p>
      <w:pPr>
        <w:spacing w:line="360" w:lineRule="auto"/>
        <w:ind w:firstLine="481" w:firstLineChars="200"/>
        <w:jc w:val="both"/>
        <w:rPr>
          <w:rFonts w:ascii="Times New Roman" w:hAnsi="Times New Roman" w:cs="Times New Roman"/>
          <w:sz w:val="24"/>
          <w:szCs w:val="24"/>
          <w:lang w:bidi="ar"/>
        </w:rPr>
      </w:pPr>
      <w:r>
        <w:rPr>
          <w:rFonts w:ascii="Times New Roman" w:hAnsi="Times New Roman" w:cs="Times New Roman"/>
          <w:b/>
          <w:bCs/>
          <w:sz w:val="24"/>
          <w:szCs w:val="24"/>
          <w:lang w:bidi="ar"/>
        </w:rPr>
        <w:t>3</w:t>
      </w:r>
      <w:r>
        <w:rPr>
          <w:rFonts w:ascii="Times New Roman" w:hAnsi="Times New Roman" w:cs="Times New Roman"/>
          <w:sz w:val="24"/>
          <w:szCs w:val="24"/>
          <w:lang w:bidi="ar"/>
        </w:rPr>
        <w:t xml:space="preserve">  应在进行绿色建筑运行效果及相关性能检验前，建立完善的绿色建筑运行检验方案。</w:t>
      </w:r>
    </w:p>
    <w:p>
      <w:pPr>
        <w:spacing w:line="360" w:lineRule="auto"/>
        <w:ind w:firstLine="481" w:firstLineChars="200"/>
        <w:jc w:val="both"/>
        <w:rPr>
          <w:rFonts w:ascii="Times New Roman" w:hAnsi="Times New Roman" w:cs="Times New Roman"/>
          <w:szCs w:val="24"/>
        </w:rPr>
      </w:pPr>
      <w:r>
        <w:rPr>
          <w:rFonts w:ascii="Times New Roman" w:hAnsi="Times New Roman" w:cs="Times New Roman"/>
          <w:b/>
          <w:bCs/>
          <w:sz w:val="24"/>
          <w:szCs w:val="24"/>
          <w:lang w:bidi="ar"/>
        </w:rPr>
        <w:t>4</w:t>
      </w:r>
      <w:r>
        <w:rPr>
          <w:rFonts w:ascii="Times New Roman" w:hAnsi="Times New Roman" w:cs="Times New Roman"/>
          <w:sz w:val="24"/>
          <w:szCs w:val="24"/>
          <w:lang w:bidi="ar"/>
        </w:rPr>
        <w:t xml:space="preserve">  为绿色建筑评价及后评估提供依据的绿色建筑运行检验数据和报告应由第三方检测或检验机构出具；当绿色建筑在开展除评价及后评估之外的工作时，运行检验数据和报告可不再要求具备相应资质和能力的第三方机构出具。 </w:t>
      </w:r>
    </w:p>
    <w:p>
      <w:pPr>
        <w:keepNext/>
        <w:keepLines/>
        <w:widowControl w:val="0"/>
        <w:numPr>
          <w:ilvl w:val="0"/>
          <w:numId w:val="0"/>
        </w:numPr>
        <w:spacing w:before="340" w:after="330" w:line="578" w:lineRule="auto"/>
        <w:ind w:left="425" w:leftChars="0" w:hanging="425" w:firstLineChars="0"/>
        <w:jc w:val="center"/>
        <w:outlineLvl w:val="0"/>
        <w:rPr>
          <w:rFonts w:hint="eastAsia" w:ascii="Times New Roman" w:hAnsi="Times New Roman" w:eastAsia="宋体" w:cs="Times New Roman"/>
          <w:b/>
          <w:bCs/>
          <w:kern w:val="44"/>
          <w:sz w:val="28"/>
          <w:szCs w:val="28"/>
          <w:lang w:val="en-US" w:eastAsia="zh-CN" w:bidi="ar-SA"/>
        </w:rPr>
        <w:sectPr>
          <w:pgSz w:w="11906" w:h="16838"/>
          <w:pgMar w:top="1440" w:right="1800" w:bottom="1440" w:left="1800" w:header="851" w:footer="992" w:gutter="0"/>
          <w:pgNumType w:fmt="decimal"/>
          <w:cols w:space="720" w:num="1"/>
          <w:docGrid w:type="lines" w:linePitch="312" w:charSpace="0"/>
        </w:sectPr>
      </w:pPr>
      <w:bookmarkStart w:id="13" w:name="_Toc204157413"/>
    </w:p>
    <w:p>
      <w:pPr>
        <w:keepNext/>
        <w:keepLines/>
        <w:widowControl w:val="0"/>
        <w:numPr>
          <w:ilvl w:val="0"/>
          <w:numId w:val="0"/>
        </w:numPr>
        <w:spacing w:before="340" w:after="330" w:line="578" w:lineRule="auto"/>
        <w:jc w:val="center"/>
        <w:outlineLvl w:val="0"/>
        <w:rPr>
          <w:rFonts w:ascii="Times New Roman" w:hAnsi="Times New Roman" w:eastAsia="宋体" w:cs="Times New Roman"/>
          <w:b/>
          <w:bCs/>
          <w:kern w:val="44"/>
          <w:sz w:val="28"/>
          <w:szCs w:val="28"/>
          <w:lang w:val="en-US" w:eastAsia="zh-CN" w:bidi="ar-SA"/>
        </w:rPr>
      </w:pPr>
      <w:r>
        <w:rPr>
          <w:rFonts w:hint="eastAsia" w:ascii="Times New Roman" w:hAnsi="Times New Roman" w:eastAsia="宋体" w:cs="Times New Roman"/>
          <w:b/>
          <w:bCs/>
          <w:kern w:val="44"/>
          <w:sz w:val="28"/>
          <w:szCs w:val="28"/>
          <w:lang w:val="en-US" w:eastAsia="zh-CN" w:bidi="ar-SA"/>
        </w:rPr>
        <w:t>4</w:t>
      </w:r>
      <w:r>
        <w:rPr>
          <w:rFonts w:ascii="Times New Roman" w:hAnsi="Times New Roman" w:eastAsia="宋体" w:cs="Times New Roman"/>
          <w:b/>
          <w:bCs/>
          <w:kern w:val="44"/>
          <w:sz w:val="28"/>
          <w:szCs w:val="28"/>
          <w:lang w:val="en-US" w:eastAsia="zh-CN" w:bidi="ar-SA"/>
        </w:rPr>
        <w:t>安全耐久</w:t>
      </w:r>
      <w:bookmarkEnd w:id="13"/>
    </w:p>
    <w:p>
      <w:pPr>
        <w:widowControl w:val="0"/>
        <w:numPr>
          <w:ilvl w:val="1"/>
          <w:numId w:val="0"/>
        </w:numPr>
        <w:spacing w:before="312" w:beforeLines="100" w:after="0" w:line="360" w:lineRule="auto"/>
        <w:ind w:left="567" w:leftChars="0" w:hanging="567" w:firstLineChars="0"/>
        <w:jc w:val="center"/>
        <w:outlineLvl w:val="1"/>
        <w:rPr>
          <w:rFonts w:ascii="Times New Roman" w:hAnsi="Times New Roman" w:eastAsia="黑体" w:cs="Times New Roman"/>
          <w:b/>
          <w:bCs/>
          <w:kern w:val="28"/>
          <w:sz w:val="24"/>
          <w:szCs w:val="32"/>
          <w:lang w:val="zh-CN" w:eastAsia="zh-CN" w:bidi="ar-SA"/>
        </w:rPr>
      </w:pPr>
      <w:r>
        <w:rPr>
          <w:rFonts w:hint="default" w:ascii="Times New Roman" w:hAnsi="Times New Roman" w:eastAsia="黑体" w:cs="Times New Roman"/>
          <w:b/>
          <w:bCs/>
          <w:kern w:val="28"/>
          <w:sz w:val="24"/>
          <w:szCs w:val="32"/>
          <w:lang w:val="zh-CN" w:eastAsia="zh-CN" w:bidi="ar-SA"/>
        </w:rPr>
        <w:t>4.1</w:t>
      </w:r>
      <w:r>
        <w:rPr>
          <w:rFonts w:ascii="Times New Roman" w:hAnsi="Times New Roman" w:eastAsia="黑体" w:cs="Times New Roman"/>
          <w:b/>
          <w:bCs/>
          <w:kern w:val="28"/>
          <w:sz w:val="24"/>
          <w:szCs w:val="32"/>
          <w:lang w:val="zh-CN" w:eastAsia="zh-CN" w:bidi="ar-SA"/>
        </w:rPr>
        <w:t xml:space="preserve"> </w:t>
      </w:r>
      <w:bookmarkStart w:id="14" w:name="_Toc204157414"/>
      <w:r>
        <w:rPr>
          <w:rFonts w:ascii="Times New Roman" w:hAnsi="Times New Roman" w:eastAsia="黑体" w:cs="Times New Roman"/>
          <w:b/>
          <w:bCs/>
          <w:kern w:val="28"/>
          <w:sz w:val="24"/>
          <w:szCs w:val="32"/>
          <w:lang w:val="zh-CN" w:eastAsia="zh-CN" w:bidi="ar-SA"/>
        </w:rPr>
        <w:t>一般规定</w:t>
      </w:r>
      <w:bookmarkEnd w:id="14"/>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4.1.1</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绿色建筑安全耐久运营检验工作流程应符合下列规定：</w:t>
      </w:r>
    </w:p>
    <w:p>
      <w:pPr>
        <w:widowControl w:val="0"/>
        <w:numPr>
          <w:ilvl w:val="0"/>
          <w:numId w:val="4"/>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应调查项目情况，是否进行过重大维修、加固、改扩建等事项，周边环境是否存在发生改变或存在安全隐患；</w:t>
      </w:r>
    </w:p>
    <w:p>
      <w:pPr>
        <w:widowControl w:val="0"/>
        <w:numPr>
          <w:ilvl w:val="0"/>
          <w:numId w:val="4"/>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查阅图纸资料，维修记录和运行管理记录；</w:t>
      </w:r>
    </w:p>
    <w:p>
      <w:pPr>
        <w:widowControl w:val="0"/>
        <w:numPr>
          <w:ilvl w:val="0"/>
          <w:numId w:val="4"/>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现场询问运行人员关于安全耐久方面出现的问题、症状、处理方法和结果；</w:t>
      </w:r>
    </w:p>
    <w:p>
      <w:pPr>
        <w:widowControl w:val="0"/>
        <w:numPr>
          <w:ilvl w:val="0"/>
          <w:numId w:val="4"/>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现场核查相关检测验收资料，对相关参数进行抽样检测验证。</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4.1.2</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核查安全运营管理记录，对涉及建筑安全的重大维修、加固、</w:t>
      </w:r>
      <w:r>
        <w:rPr>
          <w:rFonts w:hint="eastAsia" w:cs="Times New Roman"/>
          <w:b w:val="0"/>
          <w:bCs/>
          <w:kern w:val="28"/>
          <w:sz w:val="24"/>
          <w:szCs w:val="32"/>
          <w:lang w:val="en-US" w:eastAsia="zh-CN" w:bidi="ar-SA"/>
        </w:rPr>
        <w:t>及</w:t>
      </w:r>
      <w:r>
        <w:rPr>
          <w:rFonts w:ascii="Times New Roman" w:hAnsi="Times New Roman" w:eastAsia="宋体" w:cs="Times New Roman"/>
          <w:b w:val="0"/>
          <w:bCs/>
          <w:kern w:val="28"/>
          <w:sz w:val="24"/>
          <w:szCs w:val="32"/>
          <w:lang w:val="zh-CN" w:eastAsia="zh-CN" w:bidi="ar-SA"/>
        </w:rPr>
        <w:t>改扩建事项等，建筑安全检验时应重点关注。</w:t>
      </w:r>
    </w:p>
    <w:p>
      <w:pPr>
        <w:widowControl w:val="0"/>
        <w:numPr>
          <w:ilvl w:val="1"/>
          <w:numId w:val="0"/>
        </w:numPr>
        <w:spacing w:before="312" w:beforeLines="100" w:after="0" w:line="360" w:lineRule="auto"/>
        <w:ind w:left="567" w:leftChars="0" w:hanging="567" w:firstLineChars="0"/>
        <w:jc w:val="center"/>
        <w:outlineLvl w:val="1"/>
        <w:rPr>
          <w:rFonts w:ascii="Times New Roman" w:hAnsi="Times New Roman" w:eastAsia="黑体" w:cs="Times New Roman"/>
          <w:b/>
          <w:bCs/>
          <w:kern w:val="28"/>
          <w:sz w:val="24"/>
          <w:szCs w:val="32"/>
          <w:lang w:val="zh-CN" w:eastAsia="zh-CN" w:bidi="ar-SA"/>
        </w:rPr>
      </w:pPr>
      <w:bookmarkStart w:id="15" w:name="_Toc204157415"/>
      <w:bookmarkStart w:id="16" w:name="OLE_LINK45"/>
      <w:r>
        <w:rPr>
          <w:rFonts w:hint="default" w:ascii="Times New Roman" w:hAnsi="Times New Roman" w:eastAsia="黑体" w:cs="Times New Roman"/>
          <w:b/>
          <w:bCs/>
          <w:kern w:val="28"/>
          <w:sz w:val="24"/>
          <w:szCs w:val="32"/>
          <w:lang w:val="zh-CN" w:eastAsia="zh-CN" w:bidi="ar-SA"/>
        </w:rPr>
        <w:t>4.2</w:t>
      </w:r>
      <w:r>
        <w:rPr>
          <w:rFonts w:ascii="Times New Roman" w:hAnsi="Times New Roman" w:eastAsia="黑体" w:cs="Times New Roman"/>
          <w:b/>
          <w:bCs/>
          <w:kern w:val="28"/>
          <w:sz w:val="24"/>
          <w:szCs w:val="32"/>
          <w:lang w:val="zh-CN" w:eastAsia="zh-CN" w:bidi="ar-SA"/>
        </w:rPr>
        <w:t>安全</w:t>
      </w:r>
      <w:bookmarkEnd w:id="15"/>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4.2.1</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【环境检查】绿色建筑周围环境的检验应符合下列规定：</w:t>
      </w:r>
    </w:p>
    <w:p>
      <w:pPr>
        <w:widowControl w:val="0"/>
        <w:numPr>
          <w:ilvl w:val="0"/>
          <w:numId w:val="5"/>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检验内容：边坡挡墙、危险化学品危险源、易燃易爆火灾源以及防洪涝设施。</w:t>
      </w:r>
    </w:p>
    <w:p>
      <w:pPr>
        <w:widowControl w:val="0"/>
        <w:numPr>
          <w:ilvl w:val="0"/>
          <w:numId w:val="5"/>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spacing w:line="360" w:lineRule="auto"/>
        <w:ind w:firstLine="720" w:firstLineChars="300"/>
        <w:jc w:val="both"/>
        <w:rPr>
          <w:rFonts w:ascii="Times New Roman" w:hAnsi="Times New Roman" w:cs="Times New Roman"/>
          <w:sz w:val="24"/>
          <w:szCs w:val="24"/>
        </w:rPr>
      </w:pPr>
      <w:r>
        <w:rPr>
          <w:rFonts w:ascii="Times New Roman" w:hAnsi="Times New Roman" w:cs="Times New Roman"/>
          <w:sz w:val="24"/>
          <w:szCs w:val="24"/>
        </w:rPr>
        <w:t>1）查阅建筑物竣工图设计文件；</w:t>
      </w:r>
    </w:p>
    <w:p>
      <w:pPr>
        <w:spacing w:line="360" w:lineRule="auto"/>
        <w:ind w:firstLine="720" w:firstLineChars="300"/>
        <w:jc w:val="both"/>
        <w:rPr>
          <w:rFonts w:ascii="Times New Roman" w:hAnsi="Times New Roman" w:cs="Times New Roman"/>
          <w:sz w:val="24"/>
          <w:szCs w:val="24"/>
        </w:rPr>
      </w:pPr>
      <w:r>
        <w:rPr>
          <w:rFonts w:ascii="Times New Roman" w:hAnsi="Times New Roman" w:cs="Times New Roman"/>
          <w:sz w:val="24"/>
          <w:szCs w:val="24"/>
        </w:rPr>
        <w:t>2）对比竣工图，开展如下检验工作：</w:t>
      </w:r>
    </w:p>
    <w:p>
      <w:pPr>
        <w:numPr>
          <w:ilvl w:val="0"/>
          <w:numId w:val="0"/>
        </w:numPr>
        <w:spacing w:line="360" w:lineRule="auto"/>
        <w:ind w:firstLine="720" w:firstLineChars="300"/>
        <w:jc w:val="both"/>
        <w:rPr>
          <w:rFonts w:ascii="Times New Roman" w:hAnsi="Times New Roman" w:cs="Times New Roman"/>
          <w:sz w:val="24"/>
          <w:szCs w:val="24"/>
        </w:rPr>
      </w:pPr>
      <w:r>
        <w:rPr>
          <w:rFonts w:ascii="Times New Roman" w:hAnsi="Times New Roman" w:cs="Times New Roman"/>
          <w:sz w:val="24"/>
          <w:szCs w:val="24"/>
        </w:rPr>
        <w:t>现场核查建筑物周围边坡（挡墙）、防洪设施等场地环境情况是否发生了</w:t>
      </w:r>
    </w:p>
    <w:p>
      <w:pPr>
        <w:numPr>
          <w:ilvl w:val="0"/>
          <w:numId w:val="0"/>
        </w:numPr>
        <w:spacing w:line="360" w:lineRule="auto"/>
        <w:ind w:firstLine="720" w:firstLineChars="300"/>
        <w:jc w:val="both"/>
        <w:rPr>
          <w:rFonts w:ascii="Times New Roman" w:hAnsi="Times New Roman" w:cs="Times New Roman"/>
          <w:sz w:val="24"/>
          <w:szCs w:val="24"/>
        </w:rPr>
      </w:pPr>
      <w:r>
        <w:rPr>
          <w:rFonts w:ascii="Times New Roman" w:hAnsi="Times New Roman" w:cs="Times New Roman"/>
          <w:sz w:val="24"/>
          <w:szCs w:val="24"/>
        </w:rPr>
        <w:t>变化，是否有新增的化学品危险源、火灾源等；记录变化情况，必要时应</w:t>
      </w:r>
    </w:p>
    <w:p>
      <w:pPr>
        <w:numPr>
          <w:ilvl w:val="0"/>
          <w:numId w:val="0"/>
        </w:numPr>
        <w:spacing w:line="360" w:lineRule="auto"/>
        <w:ind w:firstLine="720" w:firstLineChars="300"/>
        <w:jc w:val="both"/>
        <w:rPr>
          <w:rFonts w:ascii="Times New Roman" w:hAnsi="Times New Roman" w:cs="Times New Roman"/>
          <w:sz w:val="24"/>
          <w:szCs w:val="24"/>
        </w:rPr>
      </w:pPr>
      <w:r>
        <w:rPr>
          <w:rFonts w:ascii="Times New Roman" w:hAnsi="Times New Roman" w:cs="Times New Roman"/>
          <w:sz w:val="24"/>
          <w:szCs w:val="24"/>
        </w:rPr>
        <w:t>采用仪器设备进行现场检验评估；</w:t>
      </w:r>
    </w:p>
    <w:p>
      <w:pPr>
        <w:numPr>
          <w:ilvl w:val="0"/>
          <w:numId w:val="0"/>
        </w:numPr>
        <w:spacing w:line="360" w:lineRule="auto"/>
        <w:ind w:left="718" w:leftChars="342" w:firstLine="0" w:firstLineChars="0"/>
        <w:jc w:val="both"/>
        <w:rPr>
          <w:rFonts w:ascii="Times New Roman" w:hAnsi="Times New Roman" w:cs="Times New Roman"/>
          <w:sz w:val="24"/>
          <w:szCs w:val="24"/>
        </w:rPr>
      </w:pPr>
      <w:r>
        <w:rPr>
          <w:rFonts w:ascii="Times New Roman" w:hAnsi="Times New Roman" w:cs="Times New Roman"/>
          <w:sz w:val="24"/>
          <w:szCs w:val="24"/>
        </w:rPr>
        <w:t>现场核查既有边坡挡墙是否存在安全隐患；如存在安全隐患则应提出专项安全性检测评估要求；</w:t>
      </w:r>
    </w:p>
    <w:p>
      <w:pPr>
        <w:numPr>
          <w:ilvl w:val="0"/>
          <w:numId w:val="0"/>
        </w:numPr>
        <w:spacing w:line="360" w:lineRule="auto"/>
        <w:ind w:left="718" w:leftChars="342" w:firstLine="0" w:firstLineChars="0"/>
        <w:jc w:val="both"/>
        <w:rPr>
          <w:rFonts w:ascii="Times New Roman" w:hAnsi="Times New Roman" w:cs="Times New Roman"/>
          <w:sz w:val="24"/>
          <w:szCs w:val="24"/>
        </w:rPr>
      </w:pPr>
      <w:r>
        <w:rPr>
          <w:rFonts w:ascii="Times New Roman" w:hAnsi="Times New Roman" w:cs="Times New Roman"/>
          <w:sz w:val="24"/>
          <w:szCs w:val="24"/>
        </w:rPr>
        <w:t>现场核查地下室出入口是否存在雨水倒灌的风险，如有应检查是否有临时防涝封堵设备设施等。</w:t>
      </w:r>
    </w:p>
    <w:p>
      <w:pPr>
        <w:widowControl w:val="0"/>
        <w:numPr>
          <w:ilvl w:val="0"/>
          <w:numId w:val="5"/>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场地雨、污水排水管道进行管道状况检测与评估，执行</w:t>
      </w:r>
      <w:r>
        <w:rPr>
          <w:rFonts w:hint="eastAsia" w:cs="Times New Roman"/>
          <w:b w:val="0"/>
          <w:bCs/>
          <w:kern w:val="28"/>
          <w:sz w:val="24"/>
          <w:szCs w:val="32"/>
          <w:lang w:val="en-US" w:eastAsia="zh-CN" w:bidi="ar-SA"/>
        </w:rPr>
        <w:t>现行行业</w:t>
      </w:r>
      <w:r>
        <w:rPr>
          <w:rFonts w:ascii="Times New Roman" w:hAnsi="Times New Roman" w:eastAsia="宋体" w:cs="Times New Roman"/>
          <w:b w:val="0"/>
          <w:bCs/>
          <w:kern w:val="28"/>
          <w:sz w:val="24"/>
          <w:szCs w:val="32"/>
          <w:lang w:val="zh-CN" w:eastAsia="zh-CN" w:bidi="ar-SA"/>
        </w:rPr>
        <w:t>标准《城镇排水管道检测与评估技术规程》CJJ</w:t>
      </w:r>
      <w:r>
        <w:rPr>
          <w:rFonts w:hint="eastAsia" w:cs="Times New Roman"/>
          <w:b w:val="0"/>
          <w:bCs/>
          <w:kern w:val="28"/>
          <w:sz w:val="24"/>
          <w:szCs w:val="32"/>
          <w:lang w:val="en-US" w:eastAsia="zh-CN" w:bidi="ar-SA"/>
        </w:rPr>
        <w:t xml:space="preserve"> </w:t>
      </w:r>
      <w:r>
        <w:rPr>
          <w:rFonts w:ascii="Times New Roman" w:hAnsi="Times New Roman" w:eastAsia="宋体" w:cs="Times New Roman"/>
          <w:b w:val="0"/>
          <w:bCs/>
          <w:kern w:val="28"/>
          <w:sz w:val="24"/>
          <w:szCs w:val="32"/>
          <w:lang w:val="zh-CN" w:eastAsia="zh-CN" w:bidi="ar-SA"/>
        </w:rPr>
        <w:t>181检验成果：建筑周围环境与排水管道等检验报告，并提出处理意见与建议。</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4.2.2</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【电磁辐射】绿色建筑周围电磁辐射的检验应符合下列规定：</w:t>
      </w:r>
    </w:p>
    <w:p>
      <w:pPr>
        <w:widowControl w:val="0"/>
        <w:numPr>
          <w:ilvl w:val="0"/>
          <w:numId w:val="6"/>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检验内容：电磁辐射。</w:t>
      </w:r>
    </w:p>
    <w:p>
      <w:pPr>
        <w:widowControl w:val="0"/>
        <w:numPr>
          <w:ilvl w:val="0"/>
          <w:numId w:val="6"/>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numPr>
          <w:ilvl w:val="0"/>
          <w:numId w:val="7"/>
        </w:numPr>
        <w:spacing w:line="360" w:lineRule="auto"/>
        <w:ind w:firstLine="480" w:firstLineChars="200"/>
        <w:jc w:val="both"/>
        <w:rPr>
          <w:rFonts w:ascii="Times New Roman" w:hAnsi="Times New Roman" w:cs="Times New Roman"/>
          <w:sz w:val="24"/>
          <w:szCs w:val="24"/>
        </w:rPr>
      </w:pPr>
      <w:r>
        <w:rPr>
          <w:rFonts w:ascii="Times New Roman" w:hAnsi="Times New Roman" w:cs="Times New Roman"/>
          <w:sz w:val="24"/>
          <w:szCs w:val="24"/>
        </w:rPr>
        <w:t>应符合现行行业标准《辐射环境保护管理导则 电磁辐射监测仪器和方</w:t>
      </w:r>
    </w:p>
    <w:p>
      <w:pPr>
        <w:numPr>
          <w:ilvl w:val="0"/>
          <w:numId w:val="0"/>
        </w:numPr>
        <w:spacing w:line="360" w:lineRule="auto"/>
        <w:ind w:left="718" w:leftChars="342" w:firstLine="0" w:firstLineChars="0"/>
        <w:jc w:val="both"/>
        <w:rPr>
          <w:rFonts w:ascii="Times New Roman" w:hAnsi="Times New Roman" w:cs="Times New Roman"/>
          <w:sz w:val="24"/>
          <w:szCs w:val="24"/>
        </w:rPr>
      </w:pPr>
      <w:r>
        <w:rPr>
          <w:rFonts w:ascii="Times New Roman" w:hAnsi="Times New Roman" w:cs="Times New Roman"/>
          <w:sz w:val="24"/>
          <w:szCs w:val="24"/>
        </w:rPr>
        <w:t>法》HJ/T 10.2和</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"http://www.baidu.com/link?url=nzDUMEIl-RZ8rVtVu-_tH7R5L1ypGqvIaP7eRfNKIawVvjEFq3phOnmmlXJZXSlTInNbexkUO4GQZ7a67i1BvNRHaXFVlLUcILBVlQJAo4LgzokxJ1lNdhkbqwPoUVcS" </w:instrText>
      </w:r>
      <w:r>
        <w:rPr>
          <w:rFonts w:ascii="Times New Roman" w:hAnsi="Times New Roman" w:cs="Times New Roman"/>
          <w:sz w:val="24"/>
          <w:szCs w:val="24"/>
        </w:rPr>
        <w:fldChar w:fldCharType="separate"/>
      </w:r>
      <w:r>
        <w:rPr>
          <w:rFonts w:ascii="Times New Roman" w:hAnsi="Times New Roman" w:cs="Times New Roman"/>
          <w:sz w:val="24"/>
          <w:szCs w:val="24"/>
        </w:rPr>
        <w:t>《交流输变电工程电磁环境监测方法(试行)》</w:t>
      </w:r>
      <w:r>
        <w:rPr>
          <w:rFonts w:ascii="Times New Roman" w:hAnsi="Times New Roman" w:cs="Times New Roman"/>
          <w:sz w:val="24"/>
          <w:szCs w:val="24"/>
        </w:rPr>
        <w:fldChar w:fldCharType="end"/>
      </w:r>
      <w:r>
        <w:rPr>
          <w:rFonts w:ascii="Times New Roman" w:hAnsi="Times New Roman" w:cs="Times New Roman"/>
          <w:sz w:val="24"/>
          <w:szCs w:val="24"/>
        </w:rPr>
        <w:t>HJ 681的规定；</w:t>
      </w:r>
    </w:p>
    <w:p>
      <w:pPr>
        <w:numPr>
          <w:ilvl w:val="0"/>
          <w:numId w:val="0"/>
        </w:numPr>
        <w:spacing w:line="360" w:lineRule="auto"/>
        <w:ind w:firstLine="480" w:firstLineChars="200"/>
        <w:jc w:val="both"/>
        <w:rPr>
          <w:rFonts w:ascii="Times New Roman" w:hAnsi="Times New Roman" w:cs="Times New Roman"/>
          <w:sz w:val="24"/>
          <w:szCs w:val="24"/>
        </w:rPr>
      </w:pPr>
      <w:r>
        <w:rPr>
          <w:rFonts w:ascii="Times New Roman" w:hAnsi="Times New Roman" w:cs="Times New Roman"/>
          <w:sz w:val="24"/>
          <w:szCs w:val="24"/>
        </w:rPr>
        <w:t>2）结果应符合现行国家标准《电磁环境控制限值》GB 8702的规定。</w:t>
      </w:r>
    </w:p>
    <w:p>
      <w:pPr>
        <w:widowControl w:val="0"/>
        <w:numPr>
          <w:ilvl w:val="0"/>
          <w:numId w:val="6"/>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检验成果：建筑周围电磁辐射检验报告。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4.2.3</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【结构安全检查】绿色建筑结构安全的检验应符合下列规定：</w:t>
      </w:r>
    </w:p>
    <w:p>
      <w:pPr>
        <w:widowControl w:val="0"/>
        <w:numPr>
          <w:ilvl w:val="0"/>
          <w:numId w:val="8"/>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检验内容：结构安全。</w:t>
      </w:r>
    </w:p>
    <w:p>
      <w:pPr>
        <w:widowControl w:val="0"/>
        <w:numPr>
          <w:ilvl w:val="0"/>
          <w:numId w:val="8"/>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检验方法：应符合深圳市现行地方标准《深圳市既有房屋结构安全隐患排查技术标准》SJG 41的规定。</w:t>
      </w:r>
    </w:p>
    <w:p>
      <w:pPr>
        <w:widowControl w:val="0"/>
        <w:numPr>
          <w:ilvl w:val="0"/>
          <w:numId w:val="8"/>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检验成果：结构安全隐患排查报告。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4.2.4</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【幕墙、玻璃雨棚】绿色建筑幕墙、玻璃面板雨棚的检验应符合下列规定：</w:t>
      </w:r>
    </w:p>
    <w:p>
      <w:pPr>
        <w:widowControl w:val="0"/>
        <w:numPr>
          <w:ilvl w:val="0"/>
          <w:numId w:val="9"/>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检验内容：幕墙、玻璃面板雨棚安全。</w:t>
      </w:r>
    </w:p>
    <w:p>
      <w:pPr>
        <w:widowControl w:val="0"/>
        <w:numPr>
          <w:ilvl w:val="0"/>
          <w:numId w:val="9"/>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检验方法：应符合深圳市现行地方标准《既有建筑幕墙安全检查技术标准》S</w:t>
      </w:r>
      <w:r>
        <w:rPr>
          <w:rFonts w:hint="eastAsia" w:cs="Times New Roman"/>
          <w:b w:val="0"/>
          <w:bCs/>
          <w:kern w:val="28"/>
          <w:sz w:val="24"/>
          <w:szCs w:val="32"/>
          <w:lang w:val="en-US" w:eastAsia="zh-CN" w:bidi="ar-SA"/>
        </w:rPr>
        <w:t>J</w:t>
      </w:r>
      <w:r>
        <w:rPr>
          <w:rFonts w:ascii="Times New Roman" w:hAnsi="Times New Roman" w:eastAsia="宋体" w:cs="Times New Roman"/>
          <w:b w:val="0"/>
          <w:bCs/>
          <w:kern w:val="28"/>
          <w:sz w:val="24"/>
          <w:szCs w:val="32"/>
          <w:lang w:val="zh-CN" w:eastAsia="zh-CN" w:bidi="ar-SA"/>
        </w:rPr>
        <w:t>G 43的规定。</w:t>
      </w:r>
    </w:p>
    <w:p>
      <w:pPr>
        <w:widowControl w:val="0"/>
        <w:numPr>
          <w:ilvl w:val="0"/>
          <w:numId w:val="9"/>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检验成果：幕墙、玻璃面板雨棚安全检验报告。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4.2.5</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【建筑外墙饰面层粘结质量】建筑外墙饰面层粘结质量检验应符合下列规定：</w:t>
      </w:r>
    </w:p>
    <w:p>
      <w:pPr>
        <w:widowControl w:val="0"/>
        <w:numPr>
          <w:ilvl w:val="0"/>
          <w:numId w:val="10"/>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检验内容：外墙饰面层粘结质量检验。</w:t>
      </w:r>
    </w:p>
    <w:p>
      <w:pPr>
        <w:widowControl w:val="0"/>
        <w:numPr>
          <w:ilvl w:val="0"/>
          <w:numId w:val="10"/>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检验方法：应符合行业标准《红外热像法检测建筑外墙饰面粘结质量技术规程》JGJ/T277的规定。</w:t>
      </w:r>
    </w:p>
    <w:p>
      <w:pPr>
        <w:widowControl w:val="0"/>
        <w:numPr>
          <w:ilvl w:val="0"/>
          <w:numId w:val="10"/>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 xml:space="preserve"> 检验成果：</w:t>
      </w:r>
      <w:r>
        <w:rPr>
          <w:rFonts w:hint="eastAsia" w:ascii="Times New Roman" w:hAnsi="Times New Roman" w:eastAsia="宋体" w:cs="Times New Roman"/>
          <w:b w:val="0"/>
          <w:bCs/>
          <w:kern w:val="28"/>
          <w:sz w:val="24"/>
          <w:szCs w:val="32"/>
          <w:lang w:val="zh-CN" w:eastAsia="zh-CN" w:bidi="ar-SA"/>
        </w:rPr>
        <w:t>红外热像法</w:t>
      </w:r>
      <w:r>
        <w:rPr>
          <w:rFonts w:ascii="Times New Roman" w:hAnsi="Times New Roman" w:eastAsia="宋体" w:cs="Times New Roman"/>
          <w:b w:val="0"/>
          <w:bCs/>
          <w:kern w:val="28"/>
          <w:sz w:val="24"/>
          <w:szCs w:val="32"/>
          <w:lang w:val="zh-CN" w:eastAsia="zh-CN" w:bidi="ar-SA"/>
        </w:rPr>
        <w:t>检测建筑外墙饰面层粘结质量技术报告。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4.2.6</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【门窗】建筑外墙门窗质量检验应符合下列规定：</w:t>
      </w:r>
    </w:p>
    <w:p>
      <w:pPr>
        <w:widowControl w:val="0"/>
        <w:numPr>
          <w:ilvl w:val="0"/>
          <w:numId w:val="11"/>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检验内容：门窗安全。</w:t>
      </w:r>
    </w:p>
    <w:p>
      <w:pPr>
        <w:widowControl w:val="0"/>
        <w:numPr>
          <w:ilvl w:val="0"/>
          <w:numId w:val="11"/>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检验方法：应符合行业标准</w:t>
      </w:r>
      <w:bookmarkStart w:id="17" w:name="OLE_LINK2"/>
      <w:bookmarkStart w:id="18" w:name="OLE_LINK3"/>
      <w:r>
        <w:rPr>
          <w:rFonts w:ascii="Times New Roman" w:hAnsi="Times New Roman" w:eastAsia="宋体" w:cs="Times New Roman"/>
          <w:b w:val="0"/>
          <w:bCs/>
          <w:kern w:val="28"/>
          <w:sz w:val="24"/>
          <w:szCs w:val="32"/>
          <w:lang w:val="zh-CN" w:eastAsia="zh-CN" w:bidi="ar-SA"/>
        </w:rPr>
        <w:t>《建筑门窗工程检测技术规程》JGJ/T 205</w:t>
      </w:r>
      <w:bookmarkEnd w:id="17"/>
      <w:bookmarkEnd w:id="18"/>
      <w:r>
        <w:rPr>
          <w:rFonts w:ascii="Times New Roman" w:hAnsi="Times New Roman" w:eastAsia="宋体" w:cs="Times New Roman"/>
          <w:b w:val="0"/>
          <w:bCs/>
          <w:kern w:val="28"/>
          <w:sz w:val="24"/>
          <w:szCs w:val="32"/>
          <w:lang w:val="zh-CN" w:eastAsia="zh-CN" w:bidi="ar-SA"/>
        </w:rPr>
        <w:t>的规定。</w:t>
      </w:r>
    </w:p>
    <w:p>
      <w:pPr>
        <w:widowControl w:val="0"/>
        <w:numPr>
          <w:ilvl w:val="0"/>
          <w:numId w:val="11"/>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检验成果：既有建筑门窗检测报告。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4.2.7</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【防护栏杆、栏板】绿色建筑防护栏杆、栏板的检验应符合下列规定：</w:t>
      </w:r>
    </w:p>
    <w:p>
      <w:pPr>
        <w:widowControl w:val="0"/>
        <w:numPr>
          <w:ilvl w:val="0"/>
          <w:numId w:val="12"/>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检验内容：所有建筑内外部固定在楼面、墙面、屋面上的防护栏杆、栏板。</w:t>
      </w:r>
    </w:p>
    <w:p>
      <w:pPr>
        <w:widowControl w:val="0"/>
        <w:numPr>
          <w:ilvl w:val="0"/>
          <w:numId w:val="12"/>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spacing w:line="360" w:lineRule="auto"/>
        <w:ind w:firstLine="720" w:firstLineChars="300"/>
        <w:jc w:val="both"/>
        <w:rPr>
          <w:rFonts w:ascii="Times New Roman" w:hAnsi="Times New Roman" w:cs="Times New Roman"/>
          <w:sz w:val="24"/>
          <w:szCs w:val="24"/>
        </w:rPr>
      </w:pPr>
      <w:r>
        <w:rPr>
          <w:rFonts w:ascii="Times New Roman" w:hAnsi="Times New Roman" w:cs="Times New Roman"/>
          <w:sz w:val="24"/>
          <w:szCs w:val="24"/>
        </w:rPr>
        <w:t>1）查阅竣工图，确定栏杆、栏板种类及设置情况；</w:t>
      </w:r>
    </w:p>
    <w:p>
      <w:pPr>
        <w:spacing w:line="360" w:lineRule="auto"/>
        <w:ind w:firstLine="720" w:firstLineChars="300"/>
        <w:jc w:val="both"/>
        <w:rPr>
          <w:rFonts w:ascii="Times New Roman" w:hAnsi="Times New Roman" w:cs="Times New Roman"/>
          <w:sz w:val="24"/>
          <w:szCs w:val="24"/>
        </w:rPr>
      </w:pPr>
      <w:r>
        <w:rPr>
          <w:rFonts w:ascii="Times New Roman" w:hAnsi="Times New Roman" w:cs="Times New Roman"/>
          <w:sz w:val="24"/>
          <w:szCs w:val="24"/>
        </w:rPr>
        <w:t>2）现场检查应包括下列内容：</w:t>
      </w:r>
    </w:p>
    <w:p>
      <w:pPr>
        <w:numPr>
          <w:ilvl w:val="-1"/>
          <w:numId w:val="0"/>
        </w:numPr>
        <w:spacing w:line="360" w:lineRule="auto"/>
        <w:ind w:left="1138" w:leftChars="542" w:firstLine="0" w:firstLineChars="0"/>
        <w:jc w:val="both"/>
        <w:rPr>
          <w:rFonts w:ascii="Times New Roman" w:hAnsi="Times New Roman" w:cs="Times New Roman"/>
          <w:sz w:val="24"/>
          <w:szCs w:val="24"/>
        </w:rPr>
      </w:pPr>
      <w:r>
        <w:rPr>
          <w:rFonts w:ascii="Times New Roman" w:hAnsi="Times New Roman" w:cs="Times New Roman"/>
          <w:sz w:val="24"/>
          <w:szCs w:val="24"/>
        </w:rPr>
        <w:t>对金属、玻璃栏杆，按</w:t>
      </w:r>
      <w:r>
        <w:rPr>
          <w:rFonts w:hint="eastAsia" w:cs="Times New Roman"/>
          <w:sz w:val="24"/>
          <w:szCs w:val="24"/>
          <w:lang w:val="en-US" w:eastAsia="zh-CN"/>
        </w:rPr>
        <w:t>行业标准</w:t>
      </w:r>
      <w:r>
        <w:rPr>
          <w:rFonts w:ascii="Times New Roman" w:hAnsi="Times New Roman" w:cs="Times New Roman"/>
          <w:sz w:val="24"/>
          <w:szCs w:val="24"/>
        </w:rPr>
        <w:t>《建筑防护栏杆技术标准》JGJ/T 470-2019中的第8章“维护”要求进行检验；</w:t>
      </w:r>
    </w:p>
    <w:p>
      <w:pPr>
        <w:numPr>
          <w:ilvl w:val="-1"/>
          <w:numId w:val="0"/>
        </w:numPr>
        <w:spacing w:line="360" w:lineRule="auto"/>
        <w:ind w:left="1138" w:leftChars="542" w:firstLine="0" w:firstLineChars="0"/>
        <w:jc w:val="both"/>
        <w:rPr>
          <w:rFonts w:ascii="Times New Roman" w:hAnsi="Times New Roman" w:cs="Times New Roman"/>
          <w:sz w:val="24"/>
          <w:szCs w:val="24"/>
        </w:rPr>
      </w:pPr>
      <w:r>
        <w:rPr>
          <w:rFonts w:ascii="Times New Roman" w:hAnsi="Times New Roman" w:cs="Times New Roman"/>
          <w:sz w:val="24"/>
          <w:szCs w:val="24"/>
        </w:rPr>
        <w:t>对混凝土、砖砌栏板，主要核查外观损伤与不正当使用情况，包括裂缝、锈蚀、变形以及拆改等；</w:t>
      </w:r>
    </w:p>
    <w:p>
      <w:pPr>
        <w:numPr>
          <w:ilvl w:val="-1"/>
          <w:numId w:val="0"/>
        </w:numPr>
        <w:spacing w:line="360" w:lineRule="auto"/>
        <w:ind w:left="1138" w:leftChars="542" w:firstLine="0" w:firstLineChars="0"/>
        <w:jc w:val="both"/>
        <w:rPr>
          <w:rFonts w:ascii="Times New Roman" w:hAnsi="Times New Roman" w:cs="Times New Roman"/>
          <w:sz w:val="24"/>
          <w:szCs w:val="24"/>
        </w:rPr>
      </w:pPr>
      <w:r>
        <w:rPr>
          <w:rFonts w:ascii="Times New Roman" w:hAnsi="Times New Roman" w:cs="Times New Roman"/>
          <w:sz w:val="24"/>
          <w:szCs w:val="24"/>
        </w:rPr>
        <w:t>对更换的栏杆、栏板，除按上述情况进行检查外，还应检测栏杆（板）的高度，栏杆间隙是否满足原设计要求，如对其抗风压、抗水平力有怀疑时，应按《建筑防护栏杆技术标准》JGJ/T 470-2019中附录A与附录B进行检测。</w:t>
      </w:r>
    </w:p>
    <w:p>
      <w:pPr>
        <w:widowControl w:val="0"/>
        <w:numPr>
          <w:ilvl w:val="0"/>
          <w:numId w:val="12"/>
        </w:numPr>
        <w:spacing w:before="0" w:after="0" w:line="360" w:lineRule="auto"/>
        <w:ind w:left="0" w:firstLine="480" w:firstLineChars="200"/>
        <w:jc w:val="both"/>
        <w:outlineLvl w:val="9"/>
        <w:rPr>
          <w:rFonts w:ascii="Times New Roman" w:hAnsi="Times New Roman" w:cs="Times New Roman"/>
          <w:i/>
          <w:sz w:val="24"/>
          <w:szCs w:val="24"/>
        </w:rPr>
      </w:pPr>
      <w:r>
        <w:rPr>
          <w:rFonts w:ascii="Times New Roman" w:hAnsi="Times New Roman" w:eastAsia="宋体" w:cs="Times New Roman"/>
          <w:b w:val="0"/>
          <w:bCs/>
          <w:kern w:val="28"/>
          <w:sz w:val="24"/>
          <w:szCs w:val="32"/>
          <w:lang w:val="zh-CN" w:eastAsia="zh-CN" w:bidi="ar-SA"/>
        </w:rPr>
        <w:t>检验成果：栏杆、栏板检验报告。</w:t>
      </w:r>
    </w:p>
    <w:p>
      <w:pPr>
        <w:widowControl w:val="0"/>
        <w:numPr>
          <w:ilvl w:val="2"/>
          <w:numId w:val="0"/>
        </w:numPr>
        <w:spacing w:before="0" w:after="0" w:line="360" w:lineRule="auto"/>
        <w:jc w:val="both"/>
        <w:outlineLvl w:val="9"/>
        <w:rPr>
          <w:rFonts w:ascii="Times New Roman" w:hAnsi="Times New Roman" w:eastAsia="宋体" w:cs="Times New Roman"/>
          <w:b/>
          <w:bCs w:val="0"/>
          <w:kern w:val="28"/>
          <w:sz w:val="24"/>
          <w:szCs w:val="24"/>
          <w:lang w:val="zh-CN" w:eastAsia="zh-CN" w:bidi="ar-SA"/>
        </w:rPr>
      </w:pPr>
      <w:bookmarkStart w:id="19" w:name="_Toc505780939"/>
      <w:r>
        <w:rPr>
          <w:rFonts w:hint="default" w:ascii="Times New Roman" w:hAnsi="Times New Roman" w:eastAsia="宋体" w:cs="Times New Roman"/>
          <w:b/>
          <w:bCs w:val="0"/>
          <w:color w:val="auto"/>
          <w:kern w:val="28"/>
          <w:sz w:val="24"/>
          <w:szCs w:val="24"/>
          <w:lang w:val="zh-CN" w:eastAsia="zh-CN" w:bidi="ar-SA"/>
        </w:rPr>
        <w:t>4.2.8</w:t>
      </w:r>
      <w:r>
        <w:rPr>
          <w:rFonts w:hint="eastAsia" w:cs="Times New Roman"/>
          <w:b/>
          <w:bCs w:val="0"/>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【外部设施】绿色建筑外部设施的检验应符合下列规定：</w:t>
      </w:r>
      <w:bookmarkEnd w:id="19"/>
    </w:p>
    <w:p>
      <w:pPr>
        <w:widowControl w:val="0"/>
        <w:numPr>
          <w:ilvl w:val="0"/>
          <w:numId w:val="13"/>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检验内容：外部设施包括外遮阳、太阳能设施、空调室外机位、外墙花池、屋顶装饰构架等。</w:t>
      </w:r>
    </w:p>
    <w:p>
      <w:pPr>
        <w:widowControl w:val="0"/>
        <w:numPr>
          <w:ilvl w:val="0"/>
          <w:numId w:val="13"/>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numPr>
          <w:ilvl w:val="-1"/>
          <w:numId w:val="0"/>
        </w:numPr>
        <w:spacing w:line="360" w:lineRule="auto"/>
        <w:ind w:left="800" w:firstLine="0" w:firstLineChars="0"/>
        <w:jc w:val="both"/>
        <w:rPr>
          <w:rFonts w:ascii="Times New Roman" w:hAnsi="Times New Roman" w:cs="Times New Roman"/>
          <w:sz w:val="24"/>
          <w:szCs w:val="24"/>
        </w:rPr>
      </w:pPr>
      <w:r>
        <w:rPr>
          <w:rFonts w:hint="eastAsia" w:cs="Times New Roman"/>
          <w:sz w:val="24"/>
          <w:szCs w:val="24"/>
          <w:lang w:val="en-US" w:eastAsia="zh-CN"/>
        </w:rPr>
        <w:t>1）</w:t>
      </w:r>
      <w:r>
        <w:rPr>
          <w:rFonts w:ascii="Times New Roman" w:hAnsi="Times New Roman" w:cs="Times New Roman"/>
          <w:sz w:val="24"/>
          <w:szCs w:val="24"/>
        </w:rPr>
        <w:t>查阅涉及外部设施的竣工设计文件及维修记录；</w:t>
      </w:r>
    </w:p>
    <w:p>
      <w:pPr>
        <w:numPr>
          <w:ilvl w:val="-1"/>
          <w:numId w:val="0"/>
        </w:numPr>
        <w:spacing w:line="360" w:lineRule="auto"/>
        <w:ind w:left="1278" w:leftChars="380" w:hanging="480" w:hangingChars="200"/>
        <w:jc w:val="both"/>
        <w:rPr>
          <w:rFonts w:ascii="Times New Roman" w:hAnsi="Times New Roman" w:cs="Times New Roman"/>
          <w:sz w:val="24"/>
          <w:szCs w:val="24"/>
        </w:rPr>
      </w:pPr>
      <w:r>
        <w:rPr>
          <w:rFonts w:hint="eastAsia" w:cs="Times New Roman"/>
          <w:sz w:val="24"/>
          <w:szCs w:val="24"/>
          <w:lang w:val="en-US" w:eastAsia="zh-CN"/>
        </w:rPr>
        <w:t>2）</w:t>
      </w:r>
      <w:r>
        <w:rPr>
          <w:rFonts w:ascii="Times New Roman" w:hAnsi="Times New Roman" w:cs="Times New Roman"/>
          <w:sz w:val="24"/>
          <w:szCs w:val="24"/>
        </w:rPr>
        <w:t>现场核查外部设施的破损情况，包括节点连接、裂缝、变形、锈蚀、</w:t>
      </w:r>
    </w:p>
    <w:p>
      <w:pPr>
        <w:numPr>
          <w:ilvl w:val="-1"/>
          <w:numId w:val="0"/>
        </w:numPr>
        <w:spacing w:line="360" w:lineRule="auto"/>
        <w:ind w:left="1094" w:leftChars="521" w:firstLine="0" w:firstLineChars="0"/>
        <w:jc w:val="both"/>
        <w:rPr>
          <w:rFonts w:ascii="Times New Roman" w:hAnsi="Times New Roman" w:cs="Times New Roman"/>
          <w:sz w:val="24"/>
          <w:szCs w:val="24"/>
        </w:rPr>
      </w:pPr>
      <w:r>
        <w:rPr>
          <w:rFonts w:ascii="Times New Roman" w:hAnsi="Times New Roman" w:cs="Times New Roman"/>
          <w:sz w:val="24"/>
          <w:szCs w:val="24"/>
        </w:rPr>
        <w:t>渗水等，当对连接节点承载力有怀疑时，应进行现场承载力检测，依据</w:t>
      </w:r>
      <w:r>
        <w:rPr>
          <w:rFonts w:hint="eastAsia" w:cs="Times New Roman"/>
          <w:sz w:val="24"/>
          <w:szCs w:val="24"/>
          <w:lang w:val="en-US" w:eastAsia="zh-CN"/>
        </w:rPr>
        <w:t>现行国家</w:t>
      </w:r>
      <w:r>
        <w:rPr>
          <w:rFonts w:ascii="Times New Roman" w:hAnsi="Times New Roman" w:cs="Times New Roman"/>
          <w:sz w:val="24"/>
          <w:szCs w:val="24"/>
        </w:rPr>
        <w:t>标准《混凝土结构试验方法标准》GB 50152与</w:t>
      </w:r>
      <w:r>
        <w:rPr>
          <w:rFonts w:hint="eastAsia" w:cs="Times New Roman"/>
          <w:sz w:val="24"/>
          <w:szCs w:val="24"/>
          <w:lang w:val="en-US" w:eastAsia="zh-CN"/>
        </w:rPr>
        <w:t>行业标准</w:t>
      </w:r>
      <w:r>
        <w:rPr>
          <w:rFonts w:ascii="Times New Roman" w:hAnsi="Times New Roman" w:cs="Times New Roman"/>
          <w:sz w:val="24"/>
          <w:szCs w:val="24"/>
        </w:rPr>
        <w:t>《混凝土结构后锚固技术规程》JGJ145。</w:t>
      </w:r>
    </w:p>
    <w:p>
      <w:pPr>
        <w:widowControl w:val="0"/>
        <w:numPr>
          <w:ilvl w:val="0"/>
          <w:numId w:val="13"/>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检验成果：外部设施检验报告。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4.2.9</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【建筑内部非结构构件】 绿色建筑内部非结构构件牢固性检验应符合下列规定：</w:t>
      </w:r>
    </w:p>
    <w:p>
      <w:pPr>
        <w:widowControl w:val="0"/>
        <w:numPr>
          <w:ilvl w:val="0"/>
          <w:numId w:val="0"/>
        </w:numPr>
        <w:spacing w:before="0" w:after="0" w:line="360" w:lineRule="auto"/>
        <w:ind w:left="0" w:leftChars="0" w:firstLine="481" w:firstLineChars="200"/>
        <w:jc w:val="both"/>
        <w:outlineLvl w:val="9"/>
        <w:rPr>
          <w:rFonts w:ascii="Times New Roman" w:hAnsi="Times New Roman" w:eastAsia="宋体" w:cs="Times New Roman"/>
          <w:b w:val="0"/>
          <w:bCs/>
          <w:kern w:val="28"/>
          <w:sz w:val="24"/>
          <w:szCs w:val="32"/>
          <w:lang w:val="zh-CN" w:eastAsia="zh-CN" w:bidi="ar-SA"/>
        </w:rPr>
      </w:pPr>
      <w:r>
        <w:rPr>
          <w:rFonts w:hint="eastAsia" w:ascii="Times New Roman" w:hAnsi="Times New Roman" w:eastAsia="宋体" w:cs="Times New Roman"/>
          <w:b/>
          <w:bCs/>
          <w:kern w:val="28"/>
          <w:sz w:val="24"/>
          <w:szCs w:val="32"/>
          <w:lang w:val="zh-CN" w:eastAsia="zh-CN" w:bidi="ar-SA"/>
        </w:rPr>
        <w:t>1</w:t>
      </w:r>
      <w:r>
        <w:rPr>
          <w:rFonts w:ascii="Times New Roman" w:hAnsi="Times New Roman" w:eastAsia="宋体" w:cs="Times New Roman"/>
          <w:b w:val="0"/>
          <w:bCs/>
          <w:kern w:val="28"/>
          <w:sz w:val="24"/>
          <w:szCs w:val="32"/>
          <w:lang w:val="zh-CN" w:eastAsia="zh-CN" w:bidi="ar-SA"/>
        </w:rPr>
        <w:t>检验内容：建筑内部的非结构构件，主要包括内部非承重墙体（砌筑填充墙、装配式内隔墙板及室内门窗），装饰构件和部件，固定于楼面的大型储物架、移动式档案密集柜等。</w:t>
      </w:r>
    </w:p>
    <w:p>
      <w:pPr>
        <w:widowControl w:val="0"/>
        <w:numPr>
          <w:ilvl w:val="0"/>
          <w:numId w:val="0"/>
        </w:numPr>
        <w:spacing w:before="0" w:after="0" w:line="360" w:lineRule="auto"/>
        <w:ind w:left="0" w:leftChars="0" w:firstLine="481" w:firstLineChars="200"/>
        <w:jc w:val="both"/>
        <w:outlineLvl w:val="9"/>
        <w:rPr>
          <w:rFonts w:ascii="Times New Roman" w:hAnsi="Times New Roman" w:eastAsia="宋体" w:cs="Times New Roman"/>
          <w:b w:val="0"/>
          <w:bCs/>
          <w:kern w:val="28"/>
          <w:sz w:val="24"/>
          <w:szCs w:val="32"/>
          <w:lang w:val="zh-CN" w:eastAsia="zh-CN" w:bidi="ar-SA"/>
        </w:rPr>
      </w:pPr>
      <w:r>
        <w:rPr>
          <w:rFonts w:hint="eastAsia" w:ascii="Times New Roman" w:hAnsi="Times New Roman" w:eastAsia="宋体" w:cs="Times New Roman"/>
          <w:b/>
          <w:bCs/>
          <w:kern w:val="28"/>
          <w:sz w:val="24"/>
          <w:szCs w:val="32"/>
          <w:lang w:val="zh-CN" w:eastAsia="zh-CN" w:bidi="ar-SA"/>
        </w:rPr>
        <w:t>2</w:t>
      </w:r>
      <w:r>
        <w:rPr>
          <w:rFonts w:ascii="Times New Roman" w:hAnsi="Times New Roman" w:eastAsia="宋体" w:cs="Times New Roman"/>
          <w:b w:val="0"/>
          <w:bCs/>
          <w:kern w:val="28"/>
          <w:sz w:val="24"/>
          <w:szCs w:val="32"/>
          <w:lang w:val="zh-CN" w:eastAsia="zh-CN" w:bidi="ar-SA"/>
        </w:rPr>
        <w:t>检验方法：</w:t>
      </w:r>
    </w:p>
    <w:p>
      <w:pPr>
        <w:spacing w:line="360" w:lineRule="auto"/>
        <w:ind w:firstLine="720" w:firstLineChars="300"/>
        <w:jc w:val="both"/>
        <w:rPr>
          <w:rFonts w:ascii="Times New Roman" w:hAnsi="Times New Roman" w:cs="Times New Roman"/>
          <w:sz w:val="24"/>
          <w:szCs w:val="24"/>
        </w:rPr>
      </w:pPr>
      <w:r>
        <w:rPr>
          <w:rFonts w:ascii="Times New Roman" w:hAnsi="Times New Roman" w:cs="Times New Roman"/>
          <w:sz w:val="24"/>
          <w:szCs w:val="24"/>
        </w:rPr>
        <w:t>1）查阅涉及非结构构件的竣工设计文件及维修改造记录；</w:t>
      </w:r>
    </w:p>
    <w:p>
      <w:pPr>
        <w:spacing w:line="360" w:lineRule="auto"/>
        <w:ind w:left="959" w:leftChars="228" w:hanging="480" w:hangingChars="200"/>
        <w:jc w:val="both"/>
        <w:rPr>
          <w:rFonts w:ascii="Times New Roman" w:hAnsi="Times New Roman" w:cs="Times New Roman"/>
          <w:sz w:val="24"/>
          <w:szCs w:val="24"/>
        </w:rPr>
      </w:pPr>
      <w:r>
        <w:rPr>
          <w:rFonts w:hint="eastAsia" w:cs="Times New Roman"/>
          <w:sz w:val="24"/>
          <w:szCs w:val="24"/>
          <w:lang w:val="en-US" w:eastAsia="zh-CN"/>
        </w:rPr>
        <w:t xml:space="preserve">  </w:t>
      </w:r>
      <w:r>
        <w:rPr>
          <w:rFonts w:ascii="Times New Roman" w:hAnsi="Times New Roman" w:cs="Times New Roman"/>
          <w:sz w:val="24"/>
          <w:szCs w:val="24"/>
        </w:rPr>
        <w:t>2）现场核查非结构构件的损伤情况，包括与主体结构的连接、裂缝、变形、锈蚀等；</w:t>
      </w:r>
    </w:p>
    <w:p>
      <w:pPr>
        <w:spacing w:line="360" w:lineRule="auto"/>
        <w:ind w:left="959" w:leftChars="228" w:hanging="480" w:hangingChars="200"/>
        <w:jc w:val="both"/>
        <w:rPr>
          <w:rFonts w:ascii="Times New Roman" w:hAnsi="Times New Roman" w:cs="Times New Roman"/>
          <w:sz w:val="24"/>
          <w:szCs w:val="24"/>
        </w:rPr>
      </w:pPr>
      <w:r>
        <w:rPr>
          <w:rFonts w:hint="eastAsia" w:cs="Times New Roman"/>
          <w:sz w:val="24"/>
          <w:szCs w:val="24"/>
          <w:lang w:val="en-US" w:eastAsia="zh-CN"/>
        </w:rPr>
        <w:t xml:space="preserve">  </w:t>
      </w:r>
      <w:r>
        <w:rPr>
          <w:rFonts w:ascii="Times New Roman" w:hAnsi="Times New Roman" w:cs="Times New Roman"/>
          <w:sz w:val="24"/>
          <w:szCs w:val="24"/>
        </w:rPr>
        <w:t>3）现场核查原非结构构件以及后修缮改造新增加的非结构构件，其材料与构造是否安全可靠；</w:t>
      </w:r>
    </w:p>
    <w:p>
      <w:pPr>
        <w:spacing w:line="360" w:lineRule="auto"/>
        <w:ind w:left="959" w:leftChars="228" w:hanging="480" w:hangingChars="200"/>
        <w:jc w:val="both"/>
        <w:rPr>
          <w:rFonts w:ascii="Times New Roman" w:hAnsi="Times New Roman" w:cs="Times New Roman"/>
          <w:sz w:val="24"/>
          <w:szCs w:val="24"/>
        </w:rPr>
      </w:pPr>
      <w:r>
        <w:rPr>
          <w:rFonts w:hint="eastAsia" w:cs="Times New Roman"/>
          <w:sz w:val="24"/>
          <w:szCs w:val="24"/>
          <w:lang w:val="en-US" w:eastAsia="zh-CN"/>
        </w:rPr>
        <w:t xml:space="preserve">  </w:t>
      </w:r>
      <w:r>
        <w:rPr>
          <w:rFonts w:ascii="Times New Roman" w:hAnsi="Times New Roman" w:cs="Times New Roman"/>
          <w:sz w:val="24"/>
          <w:szCs w:val="24"/>
        </w:rPr>
        <w:t>4）对存在损伤或存在安全隐患的构件进行分析，必要时进行现场载荷试验，进一步验证非结构构件及连接的安全性，</w:t>
      </w:r>
      <w:bookmarkStart w:id="20" w:name="OLE_LINK5"/>
      <w:bookmarkStart w:id="21" w:name="OLE_LINK4"/>
      <w:r>
        <w:rPr>
          <w:rFonts w:ascii="Times New Roman" w:hAnsi="Times New Roman" w:cs="Times New Roman"/>
          <w:sz w:val="24"/>
          <w:szCs w:val="24"/>
        </w:rPr>
        <w:t>依据</w:t>
      </w:r>
      <w:r>
        <w:rPr>
          <w:rFonts w:hint="eastAsia" w:cs="Times New Roman"/>
          <w:sz w:val="24"/>
          <w:szCs w:val="24"/>
          <w:lang w:val="en-US" w:eastAsia="zh-CN"/>
        </w:rPr>
        <w:t>现行国家</w:t>
      </w:r>
      <w:r>
        <w:rPr>
          <w:rFonts w:ascii="Times New Roman" w:hAnsi="Times New Roman" w:cs="Times New Roman"/>
          <w:sz w:val="24"/>
          <w:szCs w:val="24"/>
        </w:rPr>
        <w:t>标准《混凝土结构试验方法标准》GB 50152与</w:t>
      </w:r>
      <w:r>
        <w:rPr>
          <w:rFonts w:hint="eastAsia" w:cs="Times New Roman"/>
          <w:sz w:val="24"/>
          <w:szCs w:val="24"/>
          <w:lang w:val="en-US" w:eastAsia="zh-CN"/>
        </w:rPr>
        <w:t>行业标准</w:t>
      </w:r>
      <w:r>
        <w:rPr>
          <w:rFonts w:ascii="Times New Roman" w:hAnsi="Times New Roman" w:cs="Times New Roman"/>
          <w:sz w:val="24"/>
          <w:szCs w:val="24"/>
        </w:rPr>
        <w:t>《混凝土结构后锚固技术规程》JGJ145</w:t>
      </w:r>
      <w:bookmarkEnd w:id="20"/>
      <w:bookmarkEnd w:id="21"/>
      <w:r>
        <w:rPr>
          <w:rFonts w:ascii="Times New Roman" w:hAnsi="Times New Roman" w:cs="Times New Roman"/>
          <w:sz w:val="24"/>
          <w:szCs w:val="24"/>
        </w:rPr>
        <w:t>。</w:t>
      </w:r>
    </w:p>
    <w:p>
      <w:pPr>
        <w:widowControl w:val="0"/>
        <w:numPr>
          <w:ilvl w:val="0"/>
          <w:numId w:val="0"/>
        </w:numPr>
        <w:spacing w:before="0" w:after="0" w:line="360" w:lineRule="auto"/>
        <w:ind w:left="0" w:leftChars="0" w:firstLine="481" w:firstLineChars="200"/>
        <w:jc w:val="both"/>
        <w:outlineLvl w:val="9"/>
        <w:rPr>
          <w:rFonts w:ascii="Times New Roman" w:hAnsi="Times New Roman" w:eastAsia="宋体" w:cs="Times New Roman"/>
          <w:b w:val="0"/>
          <w:bCs/>
          <w:kern w:val="28"/>
          <w:sz w:val="24"/>
          <w:szCs w:val="32"/>
          <w:lang w:val="zh-CN" w:eastAsia="zh-CN" w:bidi="ar-SA"/>
        </w:rPr>
      </w:pPr>
      <w:r>
        <w:rPr>
          <w:rFonts w:hint="eastAsia" w:ascii="Times New Roman" w:hAnsi="Times New Roman" w:eastAsia="宋体" w:cs="Times New Roman"/>
          <w:b/>
          <w:bCs/>
          <w:kern w:val="28"/>
          <w:sz w:val="24"/>
          <w:szCs w:val="32"/>
          <w:lang w:val="zh-CN" w:eastAsia="zh-CN" w:bidi="ar-SA"/>
        </w:rPr>
        <w:t>3</w:t>
      </w:r>
      <w:r>
        <w:rPr>
          <w:rFonts w:ascii="Times New Roman" w:hAnsi="Times New Roman" w:eastAsia="宋体" w:cs="Times New Roman"/>
          <w:b w:val="0"/>
          <w:bCs/>
          <w:kern w:val="28"/>
          <w:sz w:val="24"/>
          <w:szCs w:val="32"/>
          <w:lang w:val="zh-CN" w:eastAsia="zh-CN" w:bidi="ar-SA"/>
        </w:rPr>
        <w:t>检验成果：建筑内部非结构构件的检验报告。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4.2.10</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【内部设备】 绿色建筑内部设备与建筑结构的连接检验应符合下列规定：</w:t>
      </w:r>
    </w:p>
    <w:p>
      <w:pPr>
        <w:widowControl w:val="0"/>
        <w:numPr>
          <w:ilvl w:val="0"/>
          <w:numId w:val="0"/>
        </w:numPr>
        <w:spacing w:before="0" w:after="0" w:line="360" w:lineRule="auto"/>
        <w:ind w:left="0" w:leftChars="0" w:firstLine="481" w:firstLineChars="200"/>
        <w:jc w:val="both"/>
        <w:outlineLvl w:val="9"/>
        <w:rPr>
          <w:rFonts w:ascii="Times New Roman" w:hAnsi="Times New Roman" w:eastAsia="宋体" w:cs="Times New Roman"/>
          <w:b w:val="0"/>
          <w:bCs/>
          <w:kern w:val="28"/>
          <w:sz w:val="24"/>
          <w:szCs w:val="32"/>
          <w:lang w:val="zh-CN" w:eastAsia="zh-CN" w:bidi="ar-SA"/>
        </w:rPr>
      </w:pPr>
      <w:r>
        <w:rPr>
          <w:rFonts w:hint="eastAsia" w:ascii="Times New Roman" w:hAnsi="Times New Roman" w:eastAsia="宋体" w:cs="Times New Roman"/>
          <w:b/>
          <w:bCs/>
          <w:kern w:val="28"/>
          <w:sz w:val="24"/>
          <w:szCs w:val="32"/>
          <w:lang w:val="zh-CN" w:eastAsia="zh-CN" w:bidi="ar-SA"/>
        </w:rPr>
        <w:t>1</w:t>
      </w:r>
      <w:r>
        <w:rPr>
          <w:rFonts w:ascii="Times New Roman" w:hAnsi="Times New Roman" w:eastAsia="宋体" w:cs="Times New Roman"/>
          <w:b w:val="0"/>
          <w:bCs/>
          <w:kern w:val="28"/>
          <w:sz w:val="24"/>
          <w:szCs w:val="32"/>
          <w:lang w:val="zh-CN" w:eastAsia="zh-CN" w:bidi="ar-SA"/>
        </w:rPr>
        <w:t>检验内容：内部设备与建筑结构的连接主要包括电梯、照明和应急电源、通信设备、管道系统、供暖和空气调节系统、烟火监测和消防系统、公用天线等与建筑结构连接牢固性及变形协调性。</w:t>
      </w:r>
    </w:p>
    <w:p>
      <w:pPr>
        <w:widowControl w:val="0"/>
        <w:numPr>
          <w:ilvl w:val="0"/>
          <w:numId w:val="0"/>
        </w:numPr>
        <w:spacing w:before="0" w:after="0" w:line="360" w:lineRule="auto"/>
        <w:ind w:left="0" w:leftChars="0" w:firstLine="481" w:firstLineChars="200"/>
        <w:jc w:val="both"/>
        <w:outlineLvl w:val="9"/>
        <w:rPr>
          <w:rFonts w:ascii="Times New Roman" w:hAnsi="Times New Roman" w:eastAsia="宋体" w:cs="Times New Roman"/>
          <w:b w:val="0"/>
          <w:bCs/>
          <w:kern w:val="28"/>
          <w:sz w:val="24"/>
          <w:szCs w:val="32"/>
          <w:lang w:val="zh-CN" w:eastAsia="zh-CN" w:bidi="ar-SA"/>
        </w:rPr>
      </w:pPr>
      <w:r>
        <w:rPr>
          <w:rFonts w:hint="eastAsia" w:ascii="Times New Roman" w:hAnsi="Times New Roman" w:eastAsia="宋体" w:cs="Times New Roman"/>
          <w:b/>
          <w:bCs/>
          <w:kern w:val="28"/>
          <w:sz w:val="24"/>
          <w:szCs w:val="32"/>
          <w:lang w:val="zh-CN" w:eastAsia="zh-CN" w:bidi="ar-SA"/>
        </w:rPr>
        <w:t>2</w:t>
      </w:r>
      <w:r>
        <w:rPr>
          <w:rFonts w:ascii="Times New Roman" w:hAnsi="Times New Roman" w:eastAsia="宋体" w:cs="Times New Roman"/>
          <w:b w:val="0"/>
          <w:bCs/>
          <w:kern w:val="28"/>
          <w:sz w:val="24"/>
          <w:szCs w:val="32"/>
          <w:lang w:val="zh-CN" w:eastAsia="zh-CN" w:bidi="ar-SA"/>
        </w:rPr>
        <w:t>检验方法：</w:t>
      </w:r>
    </w:p>
    <w:p>
      <w:pPr>
        <w:spacing w:line="360" w:lineRule="auto"/>
        <w:ind w:firstLine="480" w:firstLineChars="200"/>
        <w:jc w:val="both"/>
        <w:rPr>
          <w:rFonts w:ascii="Times New Roman" w:hAnsi="Times New Roman" w:cs="Times New Roman"/>
          <w:sz w:val="24"/>
          <w:szCs w:val="24"/>
        </w:rPr>
      </w:pPr>
      <w:r>
        <w:rPr>
          <w:rFonts w:hint="eastAsia" w:cs="Times New Roman"/>
          <w:sz w:val="24"/>
          <w:szCs w:val="24"/>
          <w:lang w:val="en-US" w:eastAsia="zh-CN"/>
        </w:rPr>
        <w:t xml:space="preserve">  </w:t>
      </w:r>
      <w:r>
        <w:rPr>
          <w:rFonts w:ascii="Times New Roman" w:hAnsi="Times New Roman" w:cs="Times New Roman"/>
          <w:sz w:val="24"/>
          <w:szCs w:val="24"/>
        </w:rPr>
        <w:t>1）查阅涉及内部设备的竣工设计文件及检查、维修与更换记录；</w:t>
      </w:r>
    </w:p>
    <w:p>
      <w:pPr>
        <w:spacing w:line="360" w:lineRule="auto"/>
        <w:ind w:left="959" w:leftChars="228" w:hanging="480" w:hangingChars="200"/>
        <w:jc w:val="both"/>
        <w:rPr>
          <w:rFonts w:ascii="Times New Roman" w:hAnsi="Times New Roman" w:cs="Times New Roman"/>
          <w:sz w:val="24"/>
          <w:szCs w:val="24"/>
        </w:rPr>
      </w:pPr>
      <w:r>
        <w:rPr>
          <w:rFonts w:hint="eastAsia" w:cs="Times New Roman"/>
          <w:sz w:val="24"/>
          <w:szCs w:val="24"/>
          <w:lang w:val="en-US" w:eastAsia="zh-CN"/>
        </w:rPr>
        <w:t xml:space="preserve">  </w:t>
      </w:r>
      <w:r>
        <w:rPr>
          <w:rFonts w:ascii="Times New Roman" w:hAnsi="Times New Roman" w:cs="Times New Roman"/>
          <w:sz w:val="24"/>
          <w:szCs w:val="24"/>
        </w:rPr>
        <w:t>2）现场核查设备安装固定情况，包括连接方式合理性、连接杆件、连接螺栓的牢固性、锈蚀等。必要时按</w:t>
      </w:r>
      <w:r>
        <w:rPr>
          <w:rFonts w:hint="eastAsia" w:cs="Times New Roman"/>
          <w:sz w:val="24"/>
          <w:szCs w:val="24"/>
          <w:lang w:val="en-US" w:eastAsia="zh-CN"/>
        </w:rPr>
        <w:t>行业标准</w:t>
      </w:r>
      <w:r>
        <w:rPr>
          <w:rFonts w:ascii="Times New Roman" w:hAnsi="Times New Roman" w:cs="Times New Roman"/>
          <w:sz w:val="24"/>
          <w:szCs w:val="24"/>
        </w:rPr>
        <w:t>《混凝土结构后锚固技术规程》JGJ145进行锚固承载力现场检验。</w:t>
      </w:r>
    </w:p>
    <w:p>
      <w:pPr>
        <w:widowControl w:val="0"/>
        <w:numPr>
          <w:ilvl w:val="0"/>
          <w:numId w:val="0"/>
        </w:numPr>
        <w:spacing w:before="0" w:after="0" w:line="360" w:lineRule="auto"/>
        <w:ind w:left="0" w:leftChars="0" w:firstLine="481" w:firstLineChars="200"/>
        <w:jc w:val="both"/>
        <w:outlineLvl w:val="9"/>
        <w:rPr>
          <w:rFonts w:ascii="Times New Roman" w:hAnsi="Times New Roman" w:eastAsia="宋体" w:cs="Times New Roman"/>
          <w:b w:val="0"/>
          <w:bCs/>
          <w:kern w:val="28"/>
          <w:sz w:val="24"/>
          <w:szCs w:val="32"/>
          <w:lang w:val="zh-CN" w:eastAsia="zh-CN" w:bidi="ar-SA"/>
        </w:rPr>
      </w:pPr>
      <w:r>
        <w:rPr>
          <w:rFonts w:hint="eastAsia" w:ascii="Times New Roman" w:hAnsi="Times New Roman" w:eastAsia="宋体" w:cs="Times New Roman"/>
          <w:b/>
          <w:bCs/>
          <w:kern w:val="28"/>
          <w:sz w:val="24"/>
          <w:szCs w:val="32"/>
          <w:lang w:val="zh-CN" w:eastAsia="zh-CN" w:bidi="ar-SA"/>
        </w:rPr>
        <w:t>3</w:t>
      </w:r>
      <w:r>
        <w:rPr>
          <w:rFonts w:ascii="Times New Roman" w:hAnsi="Times New Roman" w:eastAsia="宋体" w:cs="Times New Roman"/>
          <w:b w:val="0"/>
          <w:bCs/>
          <w:kern w:val="28"/>
          <w:sz w:val="24"/>
          <w:szCs w:val="32"/>
          <w:lang w:val="zh-CN" w:eastAsia="zh-CN" w:bidi="ar-SA"/>
        </w:rPr>
        <w:t>检验成果：内部设备与建筑结构连接检验报告。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4.2.11</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【内部附属设施】 绿色建筑内部附属设施与建筑结构的检验应符合下列规定：</w:t>
      </w:r>
    </w:p>
    <w:p>
      <w:pPr>
        <w:widowControl w:val="0"/>
        <w:numPr>
          <w:ilvl w:val="0"/>
          <w:numId w:val="0"/>
        </w:numPr>
        <w:spacing w:before="0" w:after="0" w:line="360" w:lineRule="auto"/>
        <w:ind w:left="0" w:leftChars="0" w:firstLine="481" w:firstLineChars="200"/>
        <w:jc w:val="both"/>
        <w:outlineLvl w:val="9"/>
        <w:rPr>
          <w:rFonts w:ascii="Times New Roman" w:hAnsi="Times New Roman" w:eastAsia="宋体" w:cs="Times New Roman"/>
          <w:b w:val="0"/>
          <w:bCs/>
          <w:kern w:val="28"/>
          <w:sz w:val="24"/>
          <w:szCs w:val="32"/>
          <w:lang w:val="zh-CN" w:eastAsia="zh-CN" w:bidi="ar-SA"/>
        </w:rPr>
      </w:pPr>
      <w:r>
        <w:rPr>
          <w:rFonts w:hint="eastAsia" w:ascii="Times New Roman" w:hAnsi="Times New Roman" w:eastAsia="宋体" w:cs="Times New Roman"/>
          <w:b/>
          <w:bCs/>
          <w:kern w:val="28"/>
          <w:sz w:val="24"/>
          <w:szCs w:val="32"/>
          <w:lang w:val="zh-CN" w:eastAsia="zh-CN" w:bidi="ar-SA"/>
        </w:rPr>
        <w:t>1</w:t>
      </w:r>
      <w:r>
        <w:rPr>
          <w:rFonts w:ascii="Times New Roman" w:hAnsi="Times New Roman" w:eastAsia="宋体" w:cs="Times New Roman"/>
          <w:b w:val="0"/>
          <w:bCs/>
          <w:kern w:val="28"/>
          <w:sz w:val="24"/>
          <w:szCs w:val="32"/>
          <w:lang w:val="zh-CN" w:eastAsia="zh-CN" w:bidi="ar-SA"/>
        </w:rPr>
        <w:t>检验内容：附属设施与建筑结构的连接，主要包括整体卫生间、固定在墙体上的橱柜、书架等连接。</w:t>
      </w:r>
    </w:p>
    <w:p>
      <w:pPr>
        <w:widowControl w:val="0"/>
        <w:numPr>
          <w:ilvl w:val="0"/>
          <w:numId w:val="0"/>
        </w:numPr>
        <w:spacing w:before="0" w:after="0" w:line="360" w:lineRule="auto"/>
        <w:ind w:left="0" w:leftChars="0" w:firstLine="481" w:firstLineChars="200"/>
        <w:jc w:val="both"/>
        <w:outlineLvl w:val="9"/>
        <w:rPr>
          <w:rFonts w:ascii="Times New Roman" w:hAnsi="Times New Roman" w:eastAsia="宋体" w:cs="Times New Roman"/>
          <w:b w:val="0"/>
          <w:bCs/>
          <w:kern w:val="28"/>
          <w:sz w:val="24"/>
          <w:szCs w:val="32"/>
          <w:lang w:val="zh-CN" w:eastAsia="zh-CN" w:bidi="ar-SA"/>
        </w:rPr>
      </w:pPr>
      <w:r>
        <w:rPr>
          <w:rFonts w:hint="eastAsia" w:ascii="Times New Roman" w:hAnsi="Times New Roman" w:eastAsia="宋体" w:cs="Times New Roman"/>
          <w:b/>
          <w:bCs/>
          <w:kern w:val="28"/>
          <w:sz w:val="24"/>
          <w:szCs w:val="32"/>
          <w:lang w:val="zh-CN" w:eastAsia="zh-CN" w:bidi="ar-SA"/>
        </w:rPr>
        <w:t>2</w:t>
      </w:r>
      <w:r>
        <w:rPr>
          <w:rFonts w:ascii="Times New Roman" w:hAnsi="Times New Roman" w:eastAsia="宋体" w:cs="Times New Roman"/>
          <w:b w:val="0"/>
          <w:bCs/>
          <w:kern w:val="28"/>
          <w:sz w:val="24"/>
          <w:szCs w:val="32"/>
          <w:lang w:val="zh-CN" w:eastAsia="zh-CN" w:bidi="ar-SA"/>
        </w:rPr>
        <w:t>检验方法：</w:t>
      </w:r>
    </w:p>
    <w:p>
      <w:pPr>
        <w:spacing w:line="360" w:lineRule="auto"/>
        <w:ind w:firstLine="720" w:firstLineChars="300"/>
        <w:jc w:val="both"/>
        <w:rPr>
          <w:rFonts w:ascii="Times New Roman" w:hAnsi="Times New Roman" w:cs="Times New Roman"/>
          <w:sz w:val="24"/>
          <w:szCs w:val="24"/>
        </w:rPr>
      </w:pPr>
      <w:r>
        <w:rPr>
          <w:rFonts w:ascii="Times New Roman" w:hAnsi="Times New Roman" w:cs="Times New Roman"/>
          <w:sz w:val="24"/>
          <w:szCs w:val="24"/>
        </w:rPr>
        <w:t>1）查阅涉及附属设施的竣工设计文件及维修记录；</w:t>
      </w:r>
    </w:p>
    <w:p>
      <w:pPr>
        <w:spacing w:line="360" w:lineRule="auto"/>
        <w:ind w:left="958" w:leftChars="342" w:hanging="240" w:hangingChars="100"/>
        <w:jc w:val="both"/>
        <w:rPr>
          <w:rFonts w:ascii="Times New Roman" w:hAnsi="Times New Roman" w:cs="Times New Roman"/>
          <w:sz w:val="24"/>
          <w:szCs w:val="24"/>
        </w:rPr>
      </w:pPr>
      <w:r>
        <w:rPr>
          <w:rFonts w:ascii="Times New Roman" w:hAnsi="Times New Roman" w:cs="Times New Roman"/>
          <w:sz w:val="24"/>
          <w:szCs w:val="24"/>
        </w:rPr>
        <w:t>2）现场核查附属设施的损伤变形等情况，包括连接松动、变形、锈蚀、渗水等。</w:t>
      </w:r>
    </w:p>
    <w:p>
      <w:pPr>
        <w:widowControl w:val="0"/>
        <w:numPr>
          <w:ilvl w:val="0"/>
          <w:numId w:val="0"/>
        </w:numPr>
        <w:spacing w:before="0" w:after="0" w:line="360" w:lineRule="auto"/>
        <w:ind w:left="0" w:leftChars="0" w:firstLine="481" w:firstLineChars="200"/>
        <w:jc w:val="both"/>
        <w:outlineLvl w:val="9"/>
        <w:rPr>
          <w:rFonts w:ascii="Times New Roman" w:hAnsi="Times New Roman" w:eastAsia="宋体" w:cs="Times New Roman"/>
          <w:b w:val="0"/>
          <w:bCs/>
          <w:kern w:val="28"/>
          <w:sz w:val="24"/>
          <w:szCs w:val="32"/>
          <w:lang w:val="zh-CN" w:eastAsia="zh-CN" w:bidi="ar-SA"/>
        </w:rPr>
      </w:pPr>
      <w:r>
        <w:rPr>
          <w:rFonts w:hint="eastAsia" w:ascii="Times New Roman" w:hAnsi="Times New Roman" w:eastAsia="宋体" w:cs="Times New Roman"/>
          <w:b/>
          <w:bCs/>
          <w:kern w:val="28"/>
          <w:sz w:val="24"/>
          <w:szCs w:val="32"/>
          <w:lang w:val="zh-CN" w:eastAsia="zh-CN" w:bidi="ar-SA"/>
        </w:rPr>
        <w:t>3</w:t>
      </w:r>
      <w:r>
        <w:rPr>
          <w:rFonts w:ascii="Times New Roman" w:hAnsi="Times New Roman" w:eastAsia="宋体" w:cs="Times New Roman"/>
          <w:b w:val="0"/>
          <w:bCs/>
          <w:kern w:val="28"/>
          <w:sz w:val="24"/>
          <w:szCs w:val="32"/>
          <w:lang w:val="zh-CN" w:eastAsia="zh-CN" w:bidi="ar-SA"/>
        </w:rPr>
        <w:t>检验成果：附属设施连接检验报告。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4.2.12</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【防水防渗】绿色建筑外墙、屋面、厨卫、阳台等渗漏检验应符合下列规定：</w:t>
      </w:r>
    </w:p>
    <w:p>
      <w:pPr>
        <w:widowControl w:val="0"/>
        <w:numPr>
          <w:ilvl w:val="0"/>
          <w:numId w:val="0"/>
        </w:numPr>
        <w:spacing w:before="0" w:after="0" w:line="360" w:lineRule="auto"/>
        <w:ind w:left="0" w:leftChars="0" w:firstLine="481" w:firstLineChars="200"/>
        <w:jc w:val="both"/>
        <w:outlineLvl w:val="9"/>
        <w:rPr>
          <w:rFonts w:ascii="Times New Roman" w:hAnsi="Times New Roman" w:eastAsia="宋体" w:cs="Times New Roman"/>
          <w:b w:val="0"/>
          <w:bCs/>
          <w:kern w:val="28"/>
          <w:sz w:val="24"/>
          <w:szCs w:val="32"/>
          <w:lang w:val="zh-CN" w:eastAsia="zh-CN" w:bidi="ar-SA"/>
        </w:rPr>
      </w:pPr>
      <w:r>
        <w:rPr>
          <w:rFonts w:hint="eastAsia" w:ascii="Times New Roman" w:hAnsi="Times New Roman" w:eastAsia="宋体" w:cs="Times New Roman"/>
          <w:b/>
          <w:bCs/>
          <w:kern w:val="28"/>
          <w:sz w:val="24"/>
          <w:szCs w:val="32"/>
          <w:lang w:val="zh-CN" w:eastAsia="zh-CN" w:bidi="ar-SA"/>
        </w:rPr>
        <w:t>1</w:t>
      </w:r>
      <w:r>
        <w:rPr>
          <w:rFonts w:ascii="Times New Roman" w:hAnsi="Times New Roman" w:eastAsia="宋体" w:cs="Times New Roman"/>
          <w:b w:val="0"/>
          <w:bCs/>
          <w:kern w:val="28"/>
          <w:sz w:val="24"/>
          <w:szCs w:val="32"/>
          <w:lang w:val="zh-CN" w:eastAsia="zh-CN" w:bidi="ar-SA"/>
        </w:rPr>
        <w:t>检验内容：所有可能存在渗水的区域。</w:t>
      </w:r>
    </w:p>
    <w:p>
      <w:pPr>
        <w:widowControl w:val="0"/>
        <w:numPr>
          <w:ilvl w:val="0"/>
          <w:numId w:val="0"/>
        </w:numPr>
        <w:spacing w:before="0" w:after="0" w:line="360" w:lineRule="auto"/>
        <w:ind w:left="0" w:leftChars="0" w:firstLine="481" w:firstLineChars="200"/>
        <w:jc w:val="both"/>
        <w:outlineLvl w:val="9"/>
        <w:rPr>
          <w:rFonts w:ascii="Times New Roman" w:hAnsi="Times New Roman" w:eastAsia="宋体" w:cs="Times New Roman"/>
          <w:b w:val="0"/>
          <w:bCs/>
          <w:kern w:val="28"/>
          <w:sz w:val="24"/>
          <w:szCs w:val="32"/>
          <w:lang w:val="zh-CN" w:eastAsia="zh-CN" w:bidi="ar-SA"/>
        </w:rPr>
      </w:pPr>
      <w:r>
        <w:rPr>
          <w:rFonts w:hint="eastAsia" w:ascii="Times New Roman" w:hAnsi="Times New Roman" w:eastAsia="宋体" w:cs="Times New Roman"/>
          <w:b/>
          <w:bCs/>
          <w:kern w:val="28"/>
          <w:sz w:val="24"/>
          <w:szCs w:val="32"/>
          <w:lang w:val="zh-CN" w:eastAsia="zh-CN" w:bidi="ar-SA"/>
        </w:rPr>
        <w:t>2</w:t>
      </w:r>
      <w:r>
        <w:rPr>
          <w:rFonts w:ascii="Times New Roman" w:hAnsi="Times New Roman" w:eastAsia="宋体" w:cs="Times New Roman"/>
          <w:b w:val="0"/>
          <w:bCs/>
          <w:kern w:val="28"/>
          <w:sz w:val="24"/>
          <w:szCs w:val="32"/>
          <w:lang w:val="zh-CN" w:eastAsia="zh-CN" w:bidi="ar-SA"/>
        </w:rPr>
        <w:t>检验方法：</w:t>
      </w:r>
    </w:p>
    <w:p>
      <w:pPr>
        <w:spacing w:line="360" w:lineRule="auto"/>
        <w:ind w:left="958" w:leftChars="342" w:hanging="240" w:hangingChars="100"/>
        <w:jc w:val="both"/>
        <w:rPr>
          <w:rFonts w:ascii="Times New Roman" w:hAnsi="Times New Roman" w:cs="Times New Roman"/>
          <w:sz w:val="24"/>
          <w:szCs w:val="24"/>
        </w:rPr>
      </w:pPr>
      <w:r>
        <w:rPr>
          <w:rFonts w:ascii="Times New Roman" w:hAnsi="Times New Roman" w:cs="Times New Roman"/>
          <w:sz w:val="24"/>
          <w:szCs w:val="24"/>
        </w:rPr>
        <w:t>1）查阅运维维护资料，了解建筑外墙、屋面、厨卫、阳台等渗漏维修情况；</w:t>
      </w:r>
    </w:p>
    <w:p>
      <w:pPr>
        <w:spacing w:line="360" w:lineRule="auto"/>
        <w:ind w:left="958" w:leftChars="342" w:hanging="240" w:hangingChars="100"/>
        <w:jc w:val="both"/>
        <w:rPr>
          <w:rFonts w:ascii="Times New Roman" w:hAnsi="Times New Roman" w:cs="Times New Roman"/>
          <w:sz w:val="24"/>
          <w:szCs w:val="24"/>
        </w:rPr>
      </w:pPr>
      <w:r>
        <w:rPr>
          <w:rFonts w:ascii="Times New Roman" w:hAnsi="Times New Roman" w:cs="Times New Roman"/>
          <w:sz w:val="24"/>
          <w:szCs w:val="24"/>
        </w:rPr>
        <w:t>2）现场核查建筑外墙、屋面、厨卫、阳台等，检验渗漏情况，验证修缮处理后的效果。</w:t>
      </w:r>
    </w:p>
    <w:p>
      <w:pPr>
        <w:widowControl w:val="0"/>
        <w:numPr>
          <w:ilvl w:val="0"/>
          <w:numId w:val="0"/>
        </w:numPr>
        <w:spacing w:before="0" w:after="0" w:line="360" w:lineRule="auto"/>
        <w:ind w:left="0" w:leftChars="0" w:firstLine="481" w:firstLineChars="200"/>
        <w:jc w:val="both"/>
        <w:outlineLvl w:val="9"/>
        <w:rPr>
          <w:rFonts w:ascii="Times New Roman" w:hAnsi="Times New Roman" w:eastAsia="宋体" w:cs="Times New Roman"/>
          <w:b w:val="0"/>
          <w:bCs/>
          <w:kern w:val="28"/>
          <w:sz w:val="24"/>
          <w:szCs w:val="32"/>
          <w:lang w:val="zh-CN" w:eastAsia="zh-CN" w:bidi="ar-SA"/>
        </w:rPr>
      </w:pPr>
      <w:r>
        <w:rPr>
          <w:rFonts w:hint="eastAsia" w:ascii="Times New Roman" w:hAnsi="Times New Roman" w:eastAsia="宋体" w:cs="Times New Roman"/>
          <w:b/>
          <w:bCs/>
          <w:kern w:val="28"/>
          <w:sz w:val="24"/>
          <w:szCs w:val="32"/>
          <w:lang w:val="zh-CN" w:eastAsia="zh-CN" w:bidi="ar-SA"/>
        </w:rPr>
        <w:t>3</w:t>
      </w:r>
      <w:r>
        <w:rPr>
          <w:rFonts w:ascii="Times New Roman" w:hAnsi="Times New Roman" w:eastAsia="宋体" w:cs="Times New Roman"/>
          <w:b w:val="0"/>
          <w:bCs/>
          <w:kern w:val="28"/>
          <w:sz w:val="24"/>
          <w:szCs w:val="32"/>
          <w:lang w:val="zh-CN" w:eastAsia="zh-CN" w:bidi="ar-SA"/>
        </w:rPr>
        <w:t>检验成果：建筑物渗漏情况检验报告。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4.2.13</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【安全警示】安全防护警示和引导标识系统的检验应符合下列规定：</w:t>
      </w:r>
    </w:p>
    <w:p>
      <w:pPr>
        <w:widowControl w:val="0"/>
        <w:numPr>
          <w:ilvl w:val="0"/>
          <w:numId w:val="0"/>
        </w:numPr>
        <w:spacing w:before="0" w:after="0" w:line="360" w:lineRule="auto"/>
        <w:ind w:left="0" w:leftChars="0" w:firstLine="481" w:firstLineChars="200"/>
        <w:jc w:val="both"/>
        <w:outlineLvl w:val="9"/>
        <w:rPr>
          <w:rFonts w:ascii="Times New Roman" w:hAnsi="Times New Roman" w:eastAsia="宋体" w:cs="Times New Roman"/>
          <w:b w:val="0"/>
          <w:bCs/>
          <w:kern w:val="28"/>
          <w:sz w:val="24"/>
          <w:szCs w:val="32"/>
          <w:lang w:val="zh-CN" w:eastAsia="zh-CN" w:bidi="ar-SA"/>
        </w:rPr>
      </w:pPr>
      <w:r>
        <w:rPr>
          <w:rFonts w:hint="eastAsia" w:ascii="Times New Roman" w:hAnsi="Times New Roman" w:eastAsia="宋体" w:cs="Times New Roman"/>
          <w:b/>
          <w:bCs/>
          <w:kern w:val="28"/>
          <w:sz w:val="24"/>
          <w:szCs w:val="32"/>
          <w:lang w:val="zh-CN" w:eastAsia="zh-CN" w:bidi="ar-SA"/>
        </w:rPr>
        <w:t>1</w:t>
      </w:r>
      <w:r>
        <w:rPr>
          <w:rFonts w:ascii="Times New Roman" w:hAnsi="Times New Roman" w:eastAsia="宋体" w:cs="Times New Roman"/>
          <w:b w:val="0"/>
          <w:bCs/>
          <w:kern w:val="28"/>
          <w:sz w:val="24"/>
          <w:szCs w:val="32"/>
          <w:lang w:val="zh-CN" w:eastAsia="zh-CN" w:bidi="ar-SA"/>
        </w:rPr>
        <w:t>检验内容：安全防护警示和引导标识系统，安全标志分为禁止标志、警告标志、指令标志和提示标志四类。</w:t>
      </w:r>
    </w:p>
    <w:p>
      <w:pPr>
        <w:widowControl w:val="0"/>
        <w:numPr>
          <w:ilvl w:val="0"/>
          <w:numId w:val="0"/>
        </w:numPr>
        <w:spacing w:before="0" w:after="0" w:line="360" w:lineRule="auto"/>
        <w:ind w:left="0" w:leftChars="0" w:firstLine="481" w:firstLineChars="200"/>
        <w:jc w:val="both"/>
        <w:outlineLvl w:val="9"/>
        <w:rPr>
          <w:rFonts w:ascii="Times New Roman" w:hAnsi="Times New Roman" w:eastAsia="宋体" w:cs="Times New Roman"/>
          <w:b w:val="0"/>
          <w:bCs/>
          <w:kern w:val="28"/>
          <w:sz w:val="24"/>
          <w:szCs w:val="32"/>
          <w:lang w:val="zh-CN" w:eastAsia="zh-CN" w:bidi="ar-SA"/>
        </w:rPr>
      </w:pPr>
      <w:r>
        <w:rPr>
          <w:rFonts w:hint="eastAsia" w:ascii="Times New Roman" w:hAnsi="Times New Roman" w:eastAsia="宋体" w:cs="Times New Roman"/>
          <w:b/>
          <w:bCs/>
          <w:kern w:val="28"/>
          <w:sz w:val="24"/>
          <w:szCs w:val="32"/>
          <w:lang w:val="zh-CN" w:eastAsia="zh-CN" w:bidi="ar-SA"/>
        </w:rPr>
        <w:t>2</w:t>
      </w:r>
      <w:r>
        <w:rPr>
          <w:rFonts w:ascii="Times New Roman" w:hAnsi="Times New Roman" w:eastAsia="宋体" w:cs="Times New Roman"/>
          <w:b w:val="0"/>
          <w:bCs/>
          <w:kern w:val="28"/>
          <w:sz w:val="24"/>
          <w:szCs w:val="32"/>
          <w:lang w:val="zh-CN" w:eastAsia="zh-CN" w:bidi="ar-SA"/>
        </w:rPr>
        <w:t>检验方法：应查阅标识系统的竣工图并现场核查场地及建筑公共场所和其他有必要提醒人们注意安全的场所显著位置上实际设置的情况。包括标识位置，标识类别等。</w:t>
      </w:r>
    </w:p>
    <w:p>
      <w:pPr>
        <w:widowControl w:val="0"/>
        <w:numPr>
          <w:ilvl w:val="0"/>
          <w:numId w:val="0"/>
        </w:numPr>
        <w:spacing w:before="0" w:after="0" w:line="360" w:lineRule="auto"/>
        <w:ind w:left="0" w:leftChars="0" w:firstLine="481" w:firstLineChars="200"/>
        <w:jc w:val="both"/>
        <w:outlineLvl w:val="9"/>
        <w:rPr>
          <w:rFonts w:ascii="Times New Roman" w:hAnsi="Times New Roman" w:eastAsia="宋体" w:cs="Times New Roman"/>
          <w:b w:val="0"/>
          <w:bCs/>
          <w:kern w:val="28"/>
          <w:sz w:val="24"/>
          <w:szCs w:val="32"/>
          <w:lang w:val="zh-CN" w:eastAsia="zh-CN" w:bidi="ar-SA"/>
        </w:rPr>
      </w:pPr>
      <w:r>
        <w:rPr>
          <w:rFonts w:hint="eastAsia" w:ascii="Times New Roman" w:hAnsi="Times New Roman" w:eastAsia="宋体" w:cs="Times New Roman"/>
          <w:b/>
          <w:bCs/>
          <w:kern w:val="28"/>
          <w:sz w:val="24"/>
          <w:szCs w:val="32"/>
          <w:lang w:val="zh-CN" w:eastAsia="zh-CN" w:bidi="ar-SA"/>
        </w:rPr>
        <w:t>3</w:t>
      </w:r>
      <w:r>
        <w:rPr>
          <w:rFonts w:ascii="Times New Roman" w:hAnsi="Times New Roman" w:eastAsia="宋体" w:cs="Times New Roman"/>
          <w:b w:val="0"/>
          <w:bCs/>
          <w:kern w:val="28"/>
          <w:sz w:val="24"/>
          <w:szCs w:val="32"/>
          <w:lang w:val="zh-CN" w:eastAsia="zh-CN" w:bidi="ar-SA"/>
        </w:rPr>
        <w:t>检验成果：安全防护警示和引导标识系统检验报告。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4.2.14</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【通行空间】走廊、疏散通道等通行空间的畅通性检验应符合下列规定：</w:t>
      </w:r>
    </w:p>
    <w:p>
      <w:pPr>
        <w:widowControl w:val="0"/>
        <w:numPr>
          <w:ilvl w:val="0"/>
          <w:numId w:val="0"/>
        </w:numPr>
        <w:spacing w:before="0" w:after="0" w:line="360" w:lineRule="auto"/>
        <w:ind w:left="0" w:leftChars="0" w:firstLine="481" w:firstLineChars="200"/>
        <w:jc w:val="both"/>
        <w:outlineLvl w:val="9"/>
        <w:rPr>
          <w:rFonts w:ascii="Times New Roman" w:hAnsi="Times New Roman" w:eastAsia="宋体" w:cs="Times New Roman"/>
          <w:b w:val="0"/>
          <w:bCs/>
          <w:kern w:val="28"/>
          <w:sz w:val="24"/>
          <w:szCs w:val="32"/>
          <w:lang w:val="zh-CN" w:eastAsia="zh-CN" w:bidi="ar-SA"/>
        </w:rPr>
      </w:pPr>
      <w:r>
        <w:rPr>
          <w:rFonts w:hint="eastAsia" w:ascii="Times New Roman" w:hAnsi="Times New Roman" w:eastAsia="宋体" w:cs="Times New Roman"/>
          <w:b/>
          <w:bCs/>
          <w:kern w:val="28"/>
          <w:sz w:val="24"/>
          <w:szCs w:val="32"/>
          <w:lang w:val="zh-CN" w:eastAsia="zh-CN" w:bidi="ar-SA"/>
        </w:rPr>
        <w:t>1</w:t>
      </w:r>
      <w:r>
        <w:rPr>
          <w:rFonts w:ascii="Times New Roman" w:hAnsi="Times New Roman" w:eastAsia="宋体" w:cs="Times New Roman"/>
          <w:b w:val="0"/>
          <w:bCs/>
          <w:kern w:val="28"/>
          <w:sz w:val="24"/>
          <w:szCs w:val="32"/>
          <w:lang w:val="zh-CN" w:eastAsia="zh-CN" w:bidi="ar-SA"/>
        </w:rPr>
        <w:t>检验内容：走廊、疏散通道等通行空间的畅通性。</w:t>
      </w:r>
    </w:p>
    <w:p>
      <w:pPr>
        <w:widowControl w:val="0"/>
        <w:numPr>
          <w:ilvl w:val="0"/>
          <w:numId w:val="0"/>
        </w:numPr>
        <w:spacing w:before="0" w:after="0" w:line="360" w:lineRule="auto"/>
        <w:ind w:left="0" w:leftChars="0" w:firstLine="481" w:firstLineChars="200"/>
        <w:jc w:val="both"/>
        <w:outlineLvl w:val="9"/>
        <w:rPr>
          <w:rFonts w:ascii="Times New Roman" w:hAnsi="Times New Roman" w:eastAsia="宋体" w:cs="Times New Roman"/>
          <w:b w:val="0"/>
          <w:bCs/>
          <w:kern w:val="28"/>
          <w:sz w:val="24"/>
          <w:szCs w:val="32"/>
          <w:lang w:val="zh-CN" w:eastAsia="zh-CN" w:bidi="ar-SA"/>
        </w:rPr>
      </w:pPr>
      <w:r>
        <w:rPr>
          <w:rFonts w:hint="eastAsia" w:ascii="Times New Roman" w:hAnsi="Times New Roman" w:eastAsia="宋体" w:cs="Times New Roman"/>
          <w:b/>
          <w:bCs/>
          <w:kern w:val="28"/>
          <w:sz w:val="24"/>
          <w:szCs w:val="32"/>
          <w:lang w:val="zh-CN" w:eastAsia="zh-CN" w:bidi="ar-SA"/>
        </w:rPr>
        <w:t>2</w:t>
      </w:r>
      <w:r>
        <w:rPr>
          <w:rFonts w:ascii="Times New Roman" w:hAnsi="Times New Roman" w:eastAsia="宋体" w:cs="Times New Roman"/>
          <w:b w:val="0"/>
          <w:bCs/>
          <w:kern w:val="28"/>
          <w:sz w:val="24"/>
          <w:szCs w:val="32"/>
          <w:lang w:val="zh-CN" w:eastAsia="zh-CN" w:bidi="ar-SA"/>
        </w:rPr>
        <w:t>检验方法：</w:t>
      </w:r>
    </w:p>
    <w:p>
      <w:pPr>
        <w:spacing w:line="360" w:lineRule="auto"/>
        <w:ind w:left="958" w:leftChars="342" w:hanging="240" w:hangingChars="100"/>
        <w:jc w:val="both"/>
        <w:rPr>
          <w:rFonts w:ascii="Times New Roman" w:hAnsi="Times New Roman" w:cs="Times New Roman"/>
          <w:sz w:val="24"/>
          <w:szCs w:val="24"/>
        </w:rPr>
      </w:pPr>
      <w:r>
        <w:rPr>
          <w:rFonts w:ascii="Times New Roman" w:hAnsi="Times New Roman" w:cs="Times New Roman"/>
          <w:sz w:val="24"/>
          <w:szCs w:val="24"/>
        </w:rPr>
        <w:t>1）查阅建筑物的建筑及装饰装修竣工图，确认走廊、疏散通道等通行空间位置；</w:t>
      </w:r>
    </w:p>
    <w:p>
      <w:pPr>
        <w:spacing w:line="360" w:lineRule="auto"/>
        <w:ind w:left="958" w:leftChars="342" w:hanging="240" w:hangingChars="100"/>
        <w:jc w:val="both"/>
        <w:rPr>
          <w:rFonts w:ascii="Times New Roman" w:hAnsi="Times New Roman" w:cs="Times New Roman"/>
          <w:sz w:val="24"/>
          <w:szCs w:val="24"/>
        </w:rPr>
      </w:pPr>
      <w:r>
        <w:rPr>
          <w:rFonts w:ascii="Times New Roman" w:hAnsi="Times New Roman" w:cs="Times New Roman"/>
          <w:sz w:val="24"/>
          <w:szCs w:val="24"/>
        </w:rPr>
        <w:t>2）现场核查走廊、疏散通道等通行空间的畅通性，确定是否满足现行</w:t>
      </w:r>
      <w:r>
        <w:rPr>
          <w:rFonts w:hint="eastAsia" w:cs="Times New Roman"/>
          <w:sz w:val="24"/>
          <w:szCs w:val="24"/>
          <w:lang w:val="en-US" w:eastAsia="zh-CN"/>
        </w:rPr>
        <w:t>国家</w:t>
      </w:r>
      <w:r>
        <w:rPr>
          <w:rFonts w:ascii="Times New Roman" w:hAnsi="Times New Roman" w:cs="Times New Roman"/>
          <w:sz w:val="24"/>
          <w:szCs w:val="24"/>
        </w:rPr>
        <w:t>标准《建筑设计防火通用规范》GB 55037、《防灾避难场所设计规范》GB 51143对安全疏散和避难、应急交通的相关要求。</w:t>
      </w:r>
    </w:p>
    <w:p>
      <w:pPr>
        <w:widowControl w:val="0"/>
        <w:numPr>
          <w:ilvl w:val="0"/>
          <w:numId w:val="0"/>
        </w:numPr>
        <w:spacing w:before="0" w:after="0" w:line="360" w:lineRule="auto"/>
        <w:ind w:left="0" w:leftChars="0" w:firstLine="481" w:firstLineChars="200"/>
        <w:jc w:val="both"/>
        <w:outlineLvl w:val="9"/>
        <w:rPr>
          <w:rFonts w:ascii="Times New Roman" w:hAnsi="Times New Roman" w:eastAsia="宋体" w:cs="Times New Roman"/>
          <w:b w:val="0"/>
          <w:bCs/>
          <w:kern w:val="28"/>
          <w:sz w:val="24"/>
          <w:szCs w:val="32"/>
          <w:lang w:val="zh-CN" w:eastAsia="zh-CN" w:bidi="ar-SA"/>
        </w:rPr>
      </w:pPr>
      <w:r>
        <w:rPr>
          <w:rFonts w:hint="eastAsia" w:ascii="Times New Roman" w:hAnsi="Times New Roman" w:eastAsia="宋体" w:cs="Times New Roman"/>
          <w:b/>
          <w:bCs/>
          <w:kern w:val="28"/>
          <w:sz w:val="24"/>
          <w:szCs w:val="32"/>
          <w:lang w:val="zh-CN" w:eastAsia="zh-CN" w:bidi="ar-SA"/>
        </w:rPr>
        <w:t>3</w:t>
      </w:r>
      <w:r>
        <w:rPr>
          <w:rFonts w:ascii="Times New Roman" w:hAnsi="Times New Roman" w:eastAsia="宋体" w:cs="Times New Roman"/>
          <w:b w:val="0"/>
          <w:bCs/>
          <w:kern w:val="28"/>
          <w:sz w:val="24"/>
          <w:szCs w:val="32"/>
          <w:lang w:val="zh-CN" w:eastAsia="zh-CN" w:bidi="ar-SA"/>
        </w:rPr>
        <w:t>检验结果：走廊、疏散通道等通行空间的畅通性检验报告。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4.2.15</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【干湿防滑】防滑措施的检验应符合下列规定：</w:t>
      </w:r>
    </w:p>
    <w:p>
      <w:pPr>
        <w:widowControl w:val="0"/>
        <w:numPr>
          <w:ilvl w:val="0"/>
          <w:numId w:val="14"/>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检验内容：公共区域室内外地面或路面防滑，包括潮湿地面湿态防滑值、干态地面静摩擦系数。</w:t>
      </w:r>
    </w:p>
    <w:p>
      <w:pPr>
        <w:widowControl w:val="0"/>
        <w:numPr>
          <w:ilvl w:val="0"/>
          <w:numId w:val="14"/>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检验方法：应符合现行行业标准《建筑地面工程防滑技术规程》JGJ/T 331的规定。</w:t>
      </w:r>
    </w:p>
    <w:p>
      <w:pPr>
        <w:widowControl w:val="0"/>
        <w:numPr>
          <w:ilvl w:val="0"/>
          <w:numId w:val="14"/>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检验结果：潮湿地面湿态防滑值和干态地面静摩擦系数检验报告。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4.2.16</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【步道照明】步行和自行车交通系统照明的检验应符合下列规定：</w:t>
      </w:r>
    </w:p>
    <w:p>
      <w:pPr>
        <w:widowControl w:val="0"/>
        <w:numPr>
          <w:ilvl w:val="0"/>
          <w:numId w:val="15"/>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检验内容：路面平均水平照度最低值、最小平均照度、最小垂直照度、最小半柱面照度及一般显色指数最低值。</w:t>
      </w:r>
    </w:p>
    <w:p>
      <w:pPr>
        <w:widowControl w:val="0"/>
        <w:numPr>
          <w:ilvl w:val="0"/>
          <w:numId w:val="15"/>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检验方法：按</w:t>
      </w:r>
      <w:r>
        <w:rPr>
          <w:rFonts w:hint="eastAsia" w:cs="Times New Roman"/>
          <w:b w:val="0"/>
          <w:bCs/>
          <w:kern w:val="28"/>
          <w:sz w:val="24"/>
          <w:szCs w:val="32"/>
          <w:lang w:val="en-US" w:eastAsia="zh-CN" w:bidi="ar-SA"/>
        </w:rPr>
        <w:t>现行国家标准</w:t>
      </w:r>
      <w:r>
        <w:rPr>
          <w:rFonts w:ascii="Times New Roman" w:hAnsi="Times New Roman" w:eastAsia="宋体" w:cs="Times New Roman"/>
          <w:b w:val="0"/>
          <w:bCs/>
          <w:kern w:val="28"/>
          <w:sz w:val="24"/>
          <w:szCs w:val="32"/>
          <w:lang w:val="zh-CN" w:eastAsia="zh-CN" w:bidi="ar-SA"/>
        </w:rPr>
        <w:t>《照明测量方法》GB/T5700进行检测，检测结果应满足现行国家标准《建筑环境通用规范》GB 55016对健身步道的照度要求。</w:t>
      </w:r>
    </w:p>
    <w:p>
      <w:pPr>
        <w:widowControl w:val="0"/>
        <w:numPr>
          <w:ilvl w:val="0"/>
          <w:numId w:val="15"/>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检验结果：步行和自行车交通系统照明现场检验报告。</w:t>
      </w:r>
    </w:p>
    <w:p>
      <w:pPr>
        <w:widowControl w:val="0"/>
        <w:numPr>
          <w:ilvl w:val="1"/>
          <w:numId w:val="0"/>
        </w:numPr>
        <w:spacing w:before="312" w:beforeLines="100" w:after="0" w:line="360" w:lineRule="auto"/>
        <w:ind w:left="567" w:leftChars="0" w:hanging="567" w:firstLineChars="0"/>
        <w:jc w:val="center"/>
        <w:outlineLvl w:val="1"/>
        <w:rPr>
          <w:rFonts w:ascii="Times New Roman" w:hAnsi="Times New Roman" w:eastAsia="黑体" w:cs="Times New Roman"/>
          <w:b/>
          <w:bCs/>
          <w:kern w:val="28"/>
          <w:sz w:val="24"/>
          <w:szCs w:val="32"/>
          <w:lang w:val="zh-CN" w:eastAsia="zh-CN" w:bidi="ar-SA"/>
        </w:rPr>
      </w:pPr>
      <w:bookmarkStart w:id="22" w:name="_Toc204157416"/>
      <w:r>
        <w:rPr>
          <w:rFonts w:hint="default" w:ascii="Times New Roman" w:hAnsi="Times New Roman" w:eastAsia="黑体" w:cs="Times New Roman"/>
          <w:b/>
          <w:bCs/>
          <w:kern w:val="28"/>
          <w:sz w:val="24"/>
          <w:szCs w:val="32"/>
          <w:lang w:val="zh-CN" w:eastAsia="zh-CN" w:bidi="ar-SA"/>
        </w:rPr>
        <w:t>4.3</w:t>
      </w:r>
      <w:r>
        <w:rPr>
          <w:rFonts w:ascii="Times New Roman" w:hAnsi="Times New Roman" w:eastAsia="黑体" w:cs="Times New Roman"/>
          <w:b/>
          <w:bCs/>
          <w:kern w:val="28"/>
          <w:sz w:val="24"/>
          <w:szCs w:val="32"/>
          <w:lang w:val="zh-CN" w:eastAsia="zh-CN" w:bidi="ar-SA"/>
        </w:rPr>
        <w:t>耐久</w:t>
      </w:r>
      <w:bookmarkEnd w:id="22"/>
    </w:p>
    <w:bookmarkEnd w:id="16"/>
    <w:p>
      <w:pPr>
        <w:widowControl w:val="0"/>
        <w:numPr>
          <w:ilvl w:val="2"/>
          <w:numId w:val="0"/>
        </w:numPr>
        <w:spacing w:before="0" w:after="0" w:line="360" w:lineRule="auto"/>
        <w:jc w:val="both"/>
        <w:outlineLvl w:val="9"/>
        <w:rPr>
          <w:rFonts w:ascii="Times New Roman" w:hAnsi="Times New Roman" w:eastAsia="宋体" w:cs="Times New Roman"/>
          <w:b/>
          <w:bCs w:val="0"/>
          <w:kern w:val="28"/>
          <w:sz w:val="24"/>
          <w:szCs w:val="24"/>
          <w:lang w:val="zh-CN" w:eastAsia="zh-CN" w:bidi="ar-SA"/>
        </w:rPr>
      </w:pPr>
      <w:r>
        <w:rPr>
          <w:rFonts w:hint="default" w:ascii="Times New Roman" w:hAnsi="Times New Roman" w:eastAsia="宋体" w:cs="Times New Roman"/>
          <w:b/>
          <w:bCs w:val="0"/>
          <w:color w:val="auto"/>
          <w:kern w:val="28"/>
          <w:sz w:val="24"/>
          <w:szCs w:val="24"/>
          <w:lang w:val="zh-CN" w:eastAsia="zh-CN" w:bidi="ar-SA"/>
        </w:rPr>
        <w:t>4.3.1</w:t>
      </w:r>
      <w:r>
        <w:rPr>
          <w:rFonts w:hint="eastAsia" w:cs="Times New Roman"/>
          <w:b/>
          <w:bCs w:val="0"/>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【适变性】建筑适变性提升措施检验应符合下列规定：</w:t>
      </w:r>
    </w:p>
    <w:p>
      <w:pPr>
        <w:widowControl w:val="0"/>
        <w:numPr>
          <w:ilvl w:val="0"/>
          <w:numId w:val="16"/>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检验内容：建筑空间通用开放、灵活可变设计或采取建筑使用功能可变措施情况；建筑结构与建筑设备管线分离；建筑功能和空间变化相适应的设备设施布置方式或控制方式。</w:t>
      </w:r>
    </w:p>
    <w:p>
      <w:pPr>
        <w:widowControl w:val="0"/>
        <w:numPr>
          <w:ilvl w:val="0"/>
          <w:numId w:val="16"/>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numPr>
          <w:ilvl w:val="0"/>
          <w:numId w:val="17"/>
        </w:numPr>
        <w:spacing w:line="360" w:lineRule="auto"/>
        <w:ind w:left="1257" w:leftChars="370" w:hanging="480" w:hangingChars="200"/>
        <w:jc w:val="both"/>
        <w:rPr>
          <w:rFonts w:ascii="Times New Roman" w:hAnsi="Times New Roman" w:cs="Times New Roman"/>
          <w:sz w:val="24"/>
          <w:szCs w:val="24"/>
        </w:rPr>
      </w:pPr>
      <w:r>
        <w:rPr>
          <w:rFonts w:ascii="Times New Roman" w:hAnsi="Times New Roman" w:cs="Times New Roman"/>
          <w:sz w:val="24"/>
          <w:szCs w:val="24"/>
        </w:rPr>
        <w:t>查阅建筑适变性提升措施的专项设计说明及建筑、结构、设备及装修</w:t>
      </w:r>
    </w:p>
    <w:p>
      <w:pPr>
        <w:numPr>
          <w:ilvl w:val="-1"/>
          <w:numId w:val="0"/>
        </w:numPr>
        <w:spacing w:line="360" w:lineRule="auto"/>
        <w:ind w:left="357" w:leftChars="170" w:firstLine="720" w:firstLineChars="300"/>
        <w:jc w:val="both"/>
        <w:rPr>
          <w:rFonts w:ascii="Times New Roman" w:hAnsi="Times New Roman" w:cs="Times New Roman"/>
          <w:sz w:val="24"/>
          <w:szCs w:val="24"/>
        </w:rPr>
      </w:pPr>
      <w:r>
        <w:rPr>
          <w:rFonts w:ascii="Times New Roman" w:hAnsi="Times New Roman" w:cs="Times New Roman"/>
          <w:sz w:val="24"/>
          <w:szCs w:val="24"/>
        </w:rPr>
        <w:t>相关设计文件；</w:t>
      </w:r>
    </w:p>
    <w:p>
      <w:pPr>
        <w:spacing w:line="360" w:lineRule="auto"/>
        <w:ind w:left="1198" w:leftChars="342" w:hanging="480" w:hangingChars="200"/>
        <w:jc w:val="both"/>
        <w:rPr>
          <w:rFonts w:ascii="Times New Roman" w:hAnsi="Times New Roman" w:cs="Times New Roman"/>
          <w:sz w:val="24"/>
          <w:szCs w:val="24"/>
        </w:rPr>
      </w:pPr>
      <w:r>
        <w:rPr>
          <w:rFonts w:ascii="Times New Roman" w:hAnsi="Times New Roman" w:cs="Times New Roman"/>
          <w:sz w:val="24"/>
          <w:szCs w:val="24"/>
        </w:rPr>
        <w:t>2）现场核查建筑空间适变性提升措施的应用效果与适变性提升相关设计文件的符合性及合理性；</w:t>
      </w:r>
    </w:p>
    <w:p>
      <w:pPr>
        <w:spacing w:line="360" w:lineRule="auto"/>
        <w:ind w:firstLine="720" w:firstLineChars="300"/>
        <w:jc w:val="both"/>
        <w:rPr>
          <w:rFonts w:ascii="Times New Roman" w:hAnsi="Times New Roman" w:cs="Times New Roman"/>
          <w:sz w:val="24"/>
          <w:szCs w:val="24"/>
        </w:rPr>
      </w:pPr>
      <w:r>
        <w:rPr>
          <w:rFonts w:ascii="Times New Roman" w:hAnsi="Times New Roman" w:cs="Times New Roman"/>
          <w:sz w:val="24"/>
          <w:szCs w:val="24"/>
        </w:rPr>
        <w:t>3）现场核查建筑结构与建筑设备管线的布置形式；</w:t>
      </w:r>
    </w:p>
    <w:p>
      <w:pPr>
        <w:spacing w:line="360" w:lineRule="auto"/>
        <w:ind w:left="1198" w:leftChars="342" w:hanging="480" w:hangingChars="200"/>
        <w:jc w:val="both"/>
        <w:rPr>
          <w:rFonts w:ascii="Times New Roman" w:hAnsi="Times New Roman" w:cs="Times New Roman"/>
          <w:sz w:val="24"/>
          <w:szCs w:val="24"/>
        </w:rPr>
      </w:pPr>
      <w:r>
        <w:rPr>
          <w:rFonts w:ascii="Times New Roman" w:hAnsi="Times New Roman" w:cs="Times New Roman"/>
          <w:sz w:val="24"/>
          <w:szCs w:val="24"/>
        </w:rPr>
        <w:t>4）现场核查层内或户内给排水、强弱电、供暖通风等竖井及分户计量控制箱位置不变的情况下是否满足建筑适变的要求；设备空间模数化设置情况；家具与隔断是否为可移动式。</w:t>
      </w:r>
    </w:p>
    <w:p>
      <w:pPr>
        <w:widowControl w:val="0"/>
        <w:numPr>
          <w:ilvl w:val="0"/>
          <w:numId w:val="16"/>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检验成果：建筑适变性提升措施检验报告。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4.3.2</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【部品部件】建筑部品部件耐久性检验应符合下列规定：</w:t>
      </w:r>
    </w:p>
    <w:p>
      <w:pPr>
        <w:widowControl w:val="0"/>
        <w:numPr>
          <w:ilvl w:val="0"/>
          <w:numId w:val="18"/>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检验内容：对管材、管线、管件、活动配件如各类五金配件、管道阀门、开关龙头等管材管件按要求进行耐腐蚀、抗老化、耐久性能检验。</w:t>
      </w:r>
    </w:p>
    <w:p>
      <w:pPr>
        <w:widowControl w:val="0"/>
        <w:numPr>
          <w:ilvl w:val="0"/>
          <w:numId w:val="18"/>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spacing w:line="360" w:lineRule="auto"/>
        <w:ind w:firstLine="720" w:firstLineChars="300"/>
        <w:jc w:val="both"/>
        <w:rPr>
          <w:rFonts w:ascii="Times New Roman" w:hAnsi="Times New Roman" w:cs="Times New Roman"/>
          <w:sz w:val="24"/>
          <w:szCs w:val="24"/>
        </w:rPr>
      </w:pPr>
      <w:r>
        <w:rPr>
          <w:rFonts w:ascii="Times New Roman" w:hAnsi="Times New Roman" w:cs="Times New Roman"/>
          <w:sz w:val="24"/>
          <w:szCs w:val="24"/>
        </w:rPr>
        <w:t>1）查阅管材、管线、管件、活动配件等维修记录，设备更换记录；</w:t>
      </w:r>
    </w:p>
    <w:p>
      <w:pPr>
        <w:spacing w:line="360" w:lineRule="auto"/>
        <w:ind w:left="958" w:leftChars="342" w:hanging="240" w:hangingChars="100"/>
        <w:jc w:val="both"/>
        <w:rPr>
          <w:rFonts w:ascii="Times New Roman" w:hAnsi="Times New Roman" w:cs="Times New Roman"/>
          <w:sz w:val="24"/>
          <w:szCs w:val="24"/>
        </w:rPr>
      </w:pPr>
      <w:r>
        <w:rPr>
          <w:rFonts w:ascii="Times New Roman" w:hAnsi="Times New Roman" w:cs="Times New Roman"/>
          <w:sz w:val="24"/>
          <w:szCs w:val="24"/>
        </w:rPr>
        <w:t>2）现场核验管材、管线、管件、活动配件等损伤情况，部品部件验证其产品耐腐蚀、抗老化、耐久性能。部分常见的耐腐蚀、抗老化、耐久性能好的部件部品及要求与检验方法见表4.3.2。</w:t>
      </w:r>
    </w:p>
    <w:p>
      <w:pPr>
        <w:spacing w:line="360" w:lineRule="auto"/>
        <w:jc w:val="center"/>
        <w:rPr>
          <w:rFonts w:ascii="Times New Roman" w:hAnsi="Times New Roman" w:cs="Times New Roman"/>
          <w:szCs w:val="21"/>
        </w:rPr>
      </w:pPr>
      <w:r>
        <w:rPr>
          <w:rFonts w:ascii="Times New Roman" w:hAnsi="Times New Roman" w:cs="Times New Roman"/>
          <w:szCs w:val="21"/>
        </w:rPr>
        <w:t>表4.3.2 部分常见的耐腐蚀、抗老化、耐久性能好的部品部件及要求与试验方法</w:t>
      </w:r>
    </w:p>
    <w:tbl>
      <w:tblPr>
        <w:tblStyle w:val="1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7"/>
        <w:gridCol w:w="2707"/>
        <w:gridCol w:w="47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pct"/>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ascii="Times New Roman" w:hAnsi="Times New Roman" w:cs="Times New Roman"/>
                <w:bCs/>
                <w:spacing w:val="15"/>
                <w:szCs w:val="21"/>
              </w:rPr>
            </w:pPr>
            <w:r>
              <w:rPr>
                <w:rFonts w:ascii="Times New Roman" w:hAnsi="Times New Roman" w:cs="Times New Roman"/>
                <w:bCs/>
                <w:spacing w:val="15"/>
                <w:szCs w:val="21"/>
              </w:rPr>
              <w:t>常见类型</w:t>
            </w:r>
          </w:p>
        </w:tc>
        <w:tc>
          <w:tcPr>
            <w:tcW w:w="1588" w:type="pct"/>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ascii="Times New Roman" w:hAnsi="Times New Roman" w:cs="Times New Roman"/>
                <w:bCs/>
                <w:spacing w:val="15"/>
                <w:szCs w:val="21"/>
              </w:rPr>
            </w:pPr>
            <w:r>
              <w:rPr>
                <w:rFonts w:ascii="Times New Roman" w:hAnsi="Times New Roman" w:cs="Times New Roman"/>
                <w:bCs/>
                <w:spacing w:val="15"/>
                <w:szCs w:val="21"/>
              </w:rPr>
              <w:t>耐久性要求</w:t>
            </w:r>
          </w:p>
        </w:tc>
        <w:tc>
          <w:tcPr>
            <w:tcW w:w="2780" w:type="pct"/>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ascii="Times New Roman" w:hAnsi="Times New Roman" w:cs="Times New Roman"/>
                <w:bCs/>
                <w:spacing w:val="15"/>
                <w:szCs w:val="21"/>
              </w:rPr>
            </w:pPr>
            <w:r>
              <w:rPr>
                <w:rFonts w:ascii="Times New Roman" w:hAnsi="Times New Roman" w:cs="Times New Roman"/>
                <w:bCs/>
                <w:spacing w:val="15"/>
                <w:szCs w:val="21"/>
              </w:rPr>
              <w:t>检验方法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pct"/>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ascii="Times New Roman" w:hAnsi="Times New Roman" w:cs="Times New Roman"/>
                <w:bCs/>
                <w:spacing w:val="15"/>
                <w:szCs w:val="21"/>
              </w:rPr>
            </w:pPr>
            <w:r>
              <w:rPr>
                <w:rFonts w:ascii="Times New Roman" w:hAnsi="Times New Roman" w:cs="Times New Roman"/>
                <w:bCs/>
                <w:spacing w:val="15"/>
                <w:szCs w:val="21"/>
              </w:rPr>
              <w:t>门窗</w:t>
            </w:r>
          </w:p>
        </w:tc>
        <w:tc>
          <w:tcPr>
            <w:tcW w:w="1588" w:type="pct"/>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ascii="Times New Roman" w:hAnsi="Times New Roman" w:cs="Times New Roman"/>
                <w:bCs/>
                <w:spacing w:val="15"/>
                <w:szCs w:val="21"/>
              </w:rPr>
            </w:pPr>
            <w:r>
              <w:rPr>
                <w:rFonts w:ascii="Times New Roman" w:hAnsi="Times New Roman" w:cs="Times New Roman"/>
                <w:bCs/>
                <w:spacing w:val="15"/>
                <w:szCs w:val="21"/>
              </w:rPr>
              <w:t>产品反复启闭性能达到相应绿色建材标准要求</w:t>
            </w:r>
          </w:p>
        </w:tc>
        <w:tc>
          <w:tcPr>
            <w:tcW w:w="2780" w:type="pct"/>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ascii="Times New Roman" w:hAnsi="Times New Roman" w:cs="Times New Roman"/>
                <w:bCs/>
                <w:spacing w:val="15"/>
                <w:szCs w:val="21"/>
              </w:rPr>
            </w:pPr>
            <w:r>
              <w:rPr>
                <w:rFonts w:ascii="Times New Roman" w:hAnsi="Times New Roman" w:cs="Times New Roman"/>
                <w:bCs/>
                <w:spacing w:val="15"/>
                <w:szCs w:val="21"/>
              </w:rPr>
              <w:t>《建筑门窗五金配件的性能指标及其试验方法》GB/T32223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pct"/>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ascii="Times New Roman" w:hAnsi="Times New Roman" w:cs="Times New Roman"/>
                <w:bCs/>
                <w:spacing w:val="15"/>
                <w:szCs w:val="21"/>
              </w:rPr>
            </w:pPr>
            <w:r>
              <w:rPr>
                <w:rFonts w:ascii="Times New Roman" w:hAnsi="Times New Roman" w:cs="Times New Roman"/>
                <w:bCs/>
                <w:spacing w:val="15"/>
                <w:szCs w:val="21"/>
              </w:rPr>
              <w:t>钢制户门</w:t>
            </w:r>
          </w:p>
        </w:tc>
        <w:tc>
          <w:tcPr>
            <w:tcW w:w="1588" w:type="pct"/>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ascii="Times New Roman" w:hAnsi="Times New Roman" w:cs="Times New Roman"/>
                <w:bCs/>
                <w:spacing w:val="15"/>
                <w:szCs w:val="21"/>
              </w:rPr>
            </w:pPr>
            <w:r>
              <w:rPr>
                <w:rFonts w:ascii="Times New Roman" w:hAnsi="Times New Roman" w:cs="Times New Roman"/>
                <w:bCs/>
                <w:spacing w:val="15"/>
                <w:szCs w:val="21"/>
              </w:rPr>
              <w:t>产品反复启闭性能达到相应绿色建材标准要求</w:t>
            </w:r>
          </w:p>
        </w:tc>
        <w:tc>
          <w:tcPr>
            <w:tcW w:w="2780" w:type="pct"/>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ascii="Times New Roman" w:hAnsi="Times New Roman" w:cs="Times New Roman"/>
                <w:bCs/>
                <w:spacing w:val="15"/>
                <w:szCs w:val="21"/>
              </w:rPr>
            </w:pPr>
            <w:r>
              <w:rPr>
                <w:rFonts w:ascii="Times New Roman" w:hAnsi="Times New Roman" w:cs="Times New Roman"/>
                <w:bCs/>
                <w:spacing w:val="15"/>
                <w:szCs w:val="21"/>
              </w:rPr>
              <w:t>《建筑门窗五金配件的性能指标及其试验方法》GB/T32223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pct"/>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ascii="Times New Roman" w:hAnsi="Times New Roman" w:cs="Times New Roman"/>
                <w:bCs/>
                <w:spacing w:val="15"/>
                <w:szCs w:val="21"/>
              </w:rPr>
            </w:pPr>
            <w:r>
              <w:rPr>
                <w:rFonts w:ascii="Times New Roman" w:hAnsi="Times New Roman" w:cs="Times New Roman"/>
                <w:bCs/>
                <w:spacing w:val="15"/>
                <w:szCs w:val="21"/>
              </w:rPr>
              <w:t>遮阳</w:t>
            </w:r>
          </w:p>
        </w:tc>
        <w:tc>
          <w:tcPr>
            <w:tcW w:w="1588" w:type="pct"/>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ascii="Times New Roman" w:hAnsi="Times New Roman" w:cs="Times New Roman"/>
                <w:bCs/>
                <w:spacing w:val="15"/>
                <w:szCs w:val="21"/>
              </w:rPr>
            </w:pPr>
            <w:r>
              <w:rPr>
                <w:rFonts w:ascii="Times New Roman" w:hAnsi="Times New Roman" w:cs="Times New Roman"/>
                <w:bCs/>
                <w:spacing w:val="15"/>
                <w:szCs w:val="21"/>
              </w:rPr>
              <w:t>产品机械耐久性达到相应绿色建材标准要求</w:t>
            </w:r>
          </w:p>
        </w:tc>
        <w:tc>
          <w:tcPr>
            <w:tcW w:w="2780" w:type="pct"/>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ascii="Times New Roman" w:hAnsi="Times New Roman" w:cs="Times New Roman"/>
                <w:bCs/>
                <w:spacing w:val="15"/>
                <w:szCs w:val="21"/>
              </w:rPr>
            </w:pPr>
            <w:r>
              <w:rPr>
                <w:rFonts w:ascii="Times New Roman" w:hAnsi="Times New Roman" w:cs="Times New Roman"/>
                <w:bCs/>
                <w:spacing w:val="15"/>
                <w:szCs w:val="21"/>
              </w:rPr>
              <w:t>检查遮阳装置的机械性能和遮阳装置连接部位的腐蚀情况。机械性能检测可按《建筑遮阳工程技术规范》JGJ237-2011附录B进行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pct"/>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ascii="Times New Roman" w:hAnsi="Times New Roman" w:cs="Times New Roman"/>
                <w:bCs/>
                <w:spacing w:val="15"/>
                <w:szCs w:val="21"/>
              </w:rPr>
            </w:pPr>
            <w:r>
              <w:rPr>
                <w:rFonts w:ascii="Times New Roman" w:hAnsi="Times New Roman" w:cs="Times New Roman"/>
                <w:bCs/>
                <w:spacing w:val="15"/>
                <w:szCs w:val="21"/>
              </w:rPr>
              <w:t>水嘴</w:t>
            </w:r>
          </w:p>
        </w:tc>
        <w:tc>
          <w:tcPr>
            <w:tcW w:w="1588" w:type="pct"/>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ascii="Times New Roman" w:hAnsi="Times New Roman" w:cs="Times New Roman"/>
                <w:bCs/>
                <w:spacing w:val="15"/>
                <w:szCs w:val="21"/>
              </w:rPr>
            </w:pPr>
            <w:r>
              <w:rPr>
                <w:rFonts w:ascii="Times New Roman" w:hAnsi="Times New Roman" w:cs="Times New Roman"/>
                <w:bCs/>
                <w:spacing w:val="15"/>
                <w:szCs w:val="21"/>
              </w:rPr>
              <w:t>产品寿命达到相应绿色建材标准要求</w:t>
            </w:r>
          </w:p>
        </w:tc>
        <w:tc>
          <w:tcPr>
            <w:tcW w:w="2780" w:type="pct"/>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ascii="Times New Roman" w:hAnsi="Times New Roman" w:cs="Times New Roman"/>
                <w:bCs/>
                <w:spacing w:val="15"/>
                <w:szCs w:val="21"/>
              </w:rPr>
            </w:pPr>
            <w:r>
              <w:rPr>
                <w:rFonts w:ascii="Times New Roman" w:hAnsi="Times New Roman" w:cs="Times New Roman"/>
                <w:bCs/>
                <w:spacing w:val="15"/>
                <w:szCs w:val="21"/>
              </w:rPr>
              <w:t>检查水嘴的腐蚀情况、更换频数，评估耐久性是否高于常规水嘴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 w:type="pct"/>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ascii="Times New Roman" w:hAnsi="Times New Roman" w:cs="Times New Roman"/>
                <w:bCs/>
                <w:spacing w:val="15"/>
                <w:szCs w:val="21"/>
              </w:rPr>
            </w:pPr>
            <w:r>
              <w:rPr>
                <w:rFonts w:ascii="Times New Roman" w:hAnsi="Times New Roman" w:cs="Times New Roman"/>
                <w:bCs/>
                <w:spacing w:val="15"/>
                <w:szCs w:val="21"/>
              </w:rPr>
              <w:t>阀门</w:t>
            </w:r>
          </w:p>
        </w:tc>
        <w:tc>
          <w:tcPr>
            <w:tcW w:w="1588" w:type="pct"/>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ascii="Times New Roman" w:hAnsi="Times New Roman" w:cs="Times New Roman"/>
                <w:bCs/>
                <w:spacing w:val="15"/>
                <w:szCs w:val="21"/>
              </w:rPr>
            </w:pPr>
            <w:r>
              <w:rPr>
                <w:rFonts w:ascii="Times New Roman" w:hAnsi="Times New Roman" w:cs="Times New Roman"/>
                <w:bCs/>
                <w:spacing w:val="15"/>
                <w:szCs w:val="21"/>
              </w:rPr>
              <w:t>产品寿命达到相应绿色建材标准要求</w:t>
            </w:r>
          </w:p>
        </w:tc>
        <w:tc>
          <w:tcPr>
            <w:tcW w:w="2780" w:type="pct"/>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ascii="Times New Roman" w:hAnsi="Times New Roman" w:cs="Times New Roman"/>
                <w:bCs/>
                <w:spacing w:val="15"/>
                <w:szCs w:val="21"/>
              </w:rPr>
            </w:pPr>
            <w:r>
              <w:rPr>
                <w:rFonts w:ascii="Times New Roman" w:hAnsi="Times New Roman" w:cs="Times New Roman"/>
                <w:bCs/>
                <w:spacing w:val="15"/>
                <w:szCs w:val="21"/>
              </w:rPr>
              <w:t>检查阀门的腐蚀情况、更换频次，评估耐久性是否高于常规阀门</w:t>
            </w:r>
          </w:p>
        </w:tc>
      </w:tr>
    </w:tbl>
    <w:p>
      <w:pPr>
        <w:widowControl w:val="0"/>
        <w:numPr>
          <w:ilvl w:val="0"/>
          <w:numId w:val="18"/>
        </w:numPr>
        <w:spacing w:before="0" w:after="0" w:line="360" w:lineRule="auto"/>
        <w:ind w:left="0" w:firstLine="480" w:firstLineChars="200"/>
        <w:jc w:val="both"/>
        <w:outlineLvl w:val="9"/>
        <w:rPr>
          <w:rFonts w:ascii="Times New Roman" w:hAnsi="Times New Roman" w:cs="Times New Roman"/>
          <w:bCs/>
          <w:color w:val="595959"/>
          <w:spacing w:val="15"/>
          <w:sz w:val="24"/>
          <w:szCs w:val="24"/>
        </w:rPr>
      </w:pPr>
      <w:r>
        <w:rPr>
          <w:rFonts w:ascii="Times New Roman" w:hAnsi="Times New Roman" w:eastAsia="宋体" w:cs="Times New Roman"/>
          <w:b w:val="0"/>
          <w:bCs/>
          <w:kern w:val="28"/>
          <w:sz w:val="24"/>
          <w:szCs w:val="32"/>
          <w:lang w:val="zh-CN" w:eastAsia="zh-CN" w:bidi="ar-SA"/>
        </w:rPr>
        <w:t>检验成果：建筑部品部件耐久性的检验报告。</w:t>
      </w:r>
      <w:r>
        <w:rPr>
          <w:rFonts w:ascii="Times New Roman" w:hAnsi="Times New Roman" w:cs="Times New Roman"/>
          <w:bCs/>
          <w:color w:val="595959"/>
          <w:spacing w:val="15"/>
          <w:sz w:val="24"/>
          <w:szCs w:val="24"/>
        </w:rPr>
        <w:t xml:space="preserve"> </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4.3.3</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【混凝土结构构件】混凝土结构构件耐久性检验应符合下列规定：</w:t>
      </w:r>
    </w:p>
    <w:p>
      <w:pPr>
        <w:widowControl w:val="0"/>
        <w:numPr>
          <w:ilvl w:val="0"/>
          <w:numId w:val="19"/>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检验内容：混凝土结构构件的耐久性检验。</w:t>
      </w:r>
    </w:p>
    <w:p>
      <w:pPr>
        <w:widowControl w:val="0"/>
        <w:numPr>
          <w:ilvl w:val="0"/>
          <w:numId w:val="19"/>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numPr>
          <w:ilvl w:val="-1"/>
          <w:numId w:val="0"/>
        </w:numPr>
        <w:spacing w:line="360" w:lineRule="auto"/>
        <w:ind w:left="1017" w:leftChars="370" w:hanging="240" w:hangingChars="100"/>
        <w:jc w:val="both"/>
        <w:rPr>
          <w:rFonts w:ascii="Times New Roman" w:hAnsi="Times New Roman" w:cs="Times New Roman"/>
          <w:sz w:val="24"/>
          <w:szCs w:val="24"/>
        </w:rPr>
      </w:pPr>
      <w:r>
        <w:rPr>
          <w:rFonts w:hint="eastAsia" w:cs="Times New Roman"/>
          <w:sz w:val="24"/>
          <w:szCs w:val="24"/>
          <w:lang w:val="en-US" w:eastAsia="zh-CN"/>
        </w:rPr>
        <w:t>1）</w:t>
      </w:r>
      <w:r>
        <w:rPr>
          <w:rFonts w:ascii="Times New Roman" w:hAnsi="Times New Roman" w:cs="Times New Roman"/>
          <w:sz w:val="24"/>
          <w:szCs w:val="24"/>
        </w:rPr>
        <w:t>查阅结构竣工图，明确原设计要求对混凝土保护层厚度及混凝土强度等性能要求；</w:t>
      </w:r>
    </w:p>
    <w:p>
      <w:pPr>
        <w:numPr>
          <w:ilvl w:val="-1"/>
          <w:numId w:val="0"/>
        </w:numPr>
        <w:spacing w:line="360" w:lineRule="auto"/>
        <w:ind w:left="1017" w:leftChars="370" w:hanging="240" w:hangingChars="100"/>
        <w:jc w:val="both"/>
        <w:rPr>
          <w:rFonts w:ascii="Times New Roman" w:hAnsi="Times New Roman" w:cs="Times New Roman"/>
          <w:sz w:val="24"/>
          <w:szCs w:val="24"/>
        </w:rPr>
      </w:pPr>
      <w:r>
        <w:rPr>
          <w:rFonts w:hint="eastAsia" w:cs="Times New Roman"/>
          <w:sz w:val="24"/>
          <w:szCs w:val="24"/>
          <w:lang w:val="en-US" w:eastAsia="zh-CN"/>
        </w:rPr>
        <w:t>2）</w:t>
      </w:r>
      <w:r>
        <w:rPr>
          <w:rFonts w:ascii="Times New Roman" w:hAnsi="Times New Roman" w:cs="Times New Roman"/>
          <w:sz w:val="24"/>
          <w:szCs w:val="24"/>
        </w:rPr>
        <w:t>现场检查建筑内所有混凝土构件的损伤情况，包括混凝土剥落、钢筋锈蚀、裂缝及变形等；</w:t>
      </w:r>
    </w:p>
    <w:p>
      <w:pPr>
        <w:spacing w:line="360" w:lineRule="auto"/>
        <w:ind w:left="1198" w:leftChars="342" w:hanging="480" w:hangingChars="200"/>
        <w:jc w:val="both"/>
        <w:rPr>
          <w:rFonts w:ascii="Times New Roman" w:hAnsi="Times New Roman" w:cs="Times New Roman"/>
          <w:sz w:val="24"/>
          <w:szCs w:val="24"/>
        </w:rPr>
      </w:pPr>
      <w:r>
        <w:rPr>
          <w:rFonts w:ascii="Times New Roman" w:hAnsi="Times New Roman" w:cs="Times New Roman"/>
          <w:sz w:val="24"/>
          <w:szCs w:val="24"/>
        </w:rPr>
        <w:t>3）对存在锈蚀的构件，按现行行业标准《混凝土中钢筋检测技术标准》</w:t>
      </w:r>
    </w:p>
    <w:p>
      <w:pPr>
        <w:spacing w:line="360" w:lineRule="auto"/>
        <w:ind w:left="1198" w:leftChars="456" w:hanging="240" w:hangingChars="100"/>
        <w:jc w:val="both"/>
        <w:rPr>
          <w:rFonts w:ascii="Times New Roman" w:hAnsi="Times New Roman" w:cs="Times New Roman"/>
          <w:sz w:val="24"/>
          <w:szCs w:val="24"/>
        </w:rPr>
      </w:pPr>
      <w:r>
        <w:rPr>
          <w:rFonts w:ascii="Times New Roman" w:hAnsi="Times New Roman" w:cs="Times New Roman"/>
          <w:sz w:val="24"/>
          <w:szCs w:val="24"/>
        </w:rPr>
        <w:t>JGJ/T152检测钢筋锈蚀区域的混凝土保护层厚度；</w:t>
      </w:r>
    </w:p>
    <w:p>
      <w:pPr>
        <w:spacing w:line="360" w:lineRule="auto"/>
        <w:ind w:left="958" w:leftChars="342" w:hanging="240" w:hangingChars="100"/>
        <w:jc w:val="both"/>
        <w:rPr>
          <w:rFonts w:ascii="Times New Roman" w:hAnsi="Times New Roman" w:cs="Times New Roman"/>
          <w:sz w:val="24"/>
          <w:szCs w:val="24"/>
        </w:rPr>
      </w:pPr>
      <w:r>
        <w:rPr>
          <w:rFonts w:ascii="Times New Roman" w:hAnsi="Times New Roman" w:cs="Times New Roman"/>
          <w:sz w:val="24"/>
          <w:szCs w:val="24"/>
        </w:rPr>
        <w:t>4）对存在混凝土损伤的区域，结合混凝土龄期，分别选用现行行业标准《钻芯法检测混凝土强度技术规程》JGJ/T 384、《回弹法检测混凝土抗压强度技术规程》JGJ/T 23、《高强混凝土强度检测技术规程》JGJ/T 294或者对应的广东省标准进行检测。</w:t>
      </w:r>
    </w:p>
    <w:p>
      <w:pPr>
        <w:widowControl w:val="0"/>
        <w:numPr>
          <w:ilvl w:val="0"/>
          <w:numId w:val="19"/>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检验成果：混凝土结构耐久性检验评估报告。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4.3.4</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【钢结构构件】钢结构构件耐久性检验应符合下列规定：</w:t>
      </w:r>
    </w:p>
    <w:p>
      <w:pPr>
        <w:widowControl w:val="0"/>
        <w:numPr>
          <w:ilvl w:val="0"/>
          <w:numId w:val="20"/>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检验内容：钢结构构件的耐久性检验。</w:t>
      </w:r>
    </w:p>
    <w:p>
      <w:pPr>
        <w:widowControl w:val="0"/>
        <w:numPr>
          <w:ilvl w:val="0"/>
          <w:numId w:val="20"/>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spacing w:line="360" w:lineRule="auto"/>
        <w:ind w:firstLine="720" w:firstLineChars="300"/>
        <w:jc w:val="both"/>
        <w:rPr>
          <w:rFonts w:ascii="Times New Roman" w:hAnsi="Times New Roman" w:cs="Times New Roman"/>
          <w:sz w:val="24"/>
          <w:szCs w:val="24"/>
        </w:rPr>
      </w:pPr>
      <w:r>
        <w:rPr>
          <w:rFonts w:ascii="Times New Roman" w:hAnsi="Times New Roman" w:cs="Times New Roman"/>
          <w:sz w:val="24"/>
          <w:szCs w:val="24"/>
        </w:rPr>
        <w:t>1）查阅结构竣工图，明确原钢结构面层防护涂层的设计要求；</w:t>
      </w:r>
    </w:p>
    <w:p>
      <w:pPr>
        <w:spacing w:line="360" w:lineRule="auto"/>
        <w:ind w:left="958" w:leftChars="342" w:hanging="240" w:hangingChars="100"/>
        <w:jc w:val="both"/>
        <w:rPr>
          <w:rFonts w:ascii="Times New Roman" w:hAnsi="Times New Roman" w:cs="Times New Roman"/>
          <w:sz w:val="24"/>
          <w:szCs w:val="24"/>
        </w:rPr>
      </w:pPr>
      <w:r>
        <w:rPr>
          <w:rFonts w:ascii="Times New Roman" w:hAnsi="Times New Roman" w:cs="Times New Roman"/>
          <w:sz w:val="24"/>
          <w:szCs w:val="24"/>
        </w:rPr>
        <w:t>2）现场检查建筑内所有钢结构构件的损伤情况，包括钢构件及连接节点的锈蚀、裂缝、变形等损伤及防护涂层脱落等；</w:t>
      </w:r>
    </w:p>
    <w:p>
      <w:pPr>
        <w:spacing w:line="360" w:lineRule="auto"/>
        <w:ind w:left="958" w:leftChars="342" w:hanging="240" w:hangingChars="100"/>
        <w:jc w:val="both"/>
        <w:rPr>
          <w:rFonts w:ascii="Times New Roman" w:hAnsi="Times New Roman" w:cs="Times New Roman"/>
          <w:sz w:val="24"/>
          <w:szCs w:val="24"/>
        </w:rPr>
      </w:pPr>
      <w:r>
        <w:rPr>
          <w:rFonts w:ascii="Times New Roman" w:hAnsi="Times New Roman" w:cs="Times New Roman"/>
          <w:sz w:val="24"/>
          <w:szCs w:val="24"/>
        </w:rPr>
        <w:t>3）对存在损伤的构件，按现行国家标准《钢结构现场检测技术标准》GB/T50621进行包括外观质量、表面质量、内部缺陷、变形、防腐防火涂层检测。</w:t>
      </w:r>
    </w:p>
    <w:p>
      <w:pPr>
        <w:widowControl w:val="0"/>
        <w:numPr>
          <w:ilvl w:val="0"/>
          <w:numId w:val="20"/>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检验成果：钢结构耐久性检验评估报告。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4.3.5</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【木结构构件】木结构构件耐久性检验应符合下列规定：</w:t>
      </w:r>
    </w:p>
    <w:p>
      <w:pPr>
        <w:widowControl w:val="0"/>
        <w:numPr>
          <w:ilvl w:val="0"/>
          <w:numId w:val="0"/>
        </w:numPr>
        <w:spacing w:before="0" w:after="0" w:line="360" w:lineRule="auto"/>
        <w:ind w:left="0" w:leftChars="0" w:firstLine="481" w:firstLineChars="200"/>
        <w:jc w:val="both"/>
        <w:outlineLvl w:val="9"/>
        <w:rPr>
          <w:rFonts w:ascii="Times New Roman" w:hAnsi="Times New Roman" w:eastAsia="宋体" w:cs="Times New Roman"/>
          <w:b w:val="0"/>
          <w:bCs/>
          <w:kern w:val="28"/>
          <w:sz w:val="24"/>
          <w:szCs w:val="32"/>
          <w:lang w:val="zh-CN" w:eastAsia="zh-CN" w:bidi="ar-SA"/>
        </w:rPr>
      </w:pPr>
      <w:r>
        <w:rPr>
          <w:rFonts w:hint="eastAsia" w:ascii="Times New Roman" w:hAnsi="Times New Roman" w:eastAsia="宋体" w:cs="Times New Roman"/>
          <w:b/>
          <w:bCs/>
          <w:kern w:val="28"/>
          <w:sz w:val="24"/>
          <w:szCs w:val="32"/>
          <w:lang w:val="zh-CN" w:eastAsia="zh-CN" w:bidi="ar-SA"/>
        </w:rPr>
        <w:t>1</w:t>
      </w:r>
      <w:r>
        <w:rPr>
          <w:rFonts w:hint="eastAsia" w:cs="Times New Roman"/>
          <w:b/>
          <w:bCs/>
          <w:kern w:val="28"/>
          <w:sz w:val="24"/>
          <w:szCs w:val="32"/>
          <w:lang w:val="en-US" w:eastAsia="zh-CN" w:bidi="ar-SA"/>
        </w:rPr>
        <w:t xml:space="preserve"> </w:t>
      </w:r>
      <w:r>
        <w:rPr>
          <w:rFonts w:ascii="Times New Roman" w:hAnsi="Times New Roman" w:eastAsia="宋体" w:cs="Times New Roman"/>
          <w:b w:val="0"/>
          <w:bCs/>
          <w:kern w:val="28"/>
          <w:sz w:val="24"/>
          <w:szCs w:val="32"/>
          <w:lang w:val="zh-CN" w:eastAsia="zh-CN" w:bidi="ar-SA"/>
        </w:rPr>
        <w:t>检验内容：木结构构件的耐久性检验。</w:t>
      </w:r>
    </w:p>
    <w:p>
      <w:pPr>
        <w:widowControl w:val="0"/>
        <w:numPr>
          <w:ilvl w:val="0"/>
          <w:numId w:val="0"/>
        </w:numPr>
        <w:spacing w:before="0" w:after="0" w:line="360" w:lineRule="auto"/>
        <w:ind w:left="0" w:leftChars="0" w:firstLine="481" w:firstLineChars="200"/>
        <w:jc w:val="both"/>
        <w:outlineLvl w:val="9"/>
        <w:rPr>
          <w:rFonts w:ascii="Times New Roman" w:hAnsi="Times New Roman" w:eastAsia="宋体" w:cs="Times New Roman"/>
          <w:b w:val="0"/>
          <w:bCs/>
          <w:kern w:val="28"/>
          <w:sz w:val="24"/>
          <w:szCs w:val="32"/>
          <w:lang w:val="zh-CN" w:eastAsia="zh-CN" w:bidi="ar-SA"/>
        </w:rPr>
      </w:pPr>
      <w:r>
        <w:rPr>
          <w:rFonts w:hint="eastAsia" w:ascii="Times New Roman" w:hAnsi="Times New Roman" w:eastAsia="宋体" w:cs="Times New Roman"/>
          <w:b/>
          <w:bCs/>
          <w:kern w:val="28"/>
          <w:sz w:val="24"/>
          <w:szCs w:val="32"/>
          <w:lang w:val="zh-CN" w:eastAsia="zh-CN" w:bidi="ar-SA"/>
        </w:rPr>
        <w:t>2</w:t>
      </w:r>
      <w:r>
        <w:rPr>
          <w:rFonts w:hint="eastAsia" w:cs="Times New Roman"/>
          <w:b/>
          <w:bCs/>
          <w:kern w:val="28"/>
          <w:sz w:val="24"/>
          <w:szCs w:val="32"/>
          <w:lang w:val="en-US" w:eastAsia="zh-CN" w:bidi="ar-SA"/>
        </w:rPr>
        <w:t xml:space="preserve"> </w:t>
      </w:r>
      <w:r>
        <w:rPr>
          <w:rFonts w:ascii="Times New Roman" w:hAnsi="Times New Roman" w:eastAsia="宋体" w:cs="Times New Roman"/>
          <w:b w:val="0"/>
          <w:bCs/>
          <w:kern w:val="28"/>
          <w:sz w:val="24"/>
          <w:szCs w:val="32"/>
          <w:lang w:val="zh-CN" w:eastAsia="zh-CN" w:bidi="ar-SA"/>
        </w:rPr>
        <w:t>检验方法：</w:t>
      </w:r>
    </w:p>
    <w:p>
      <w:pPr>
        <w:spacing w:line="360" w:lineRule="auto"/>
        <w:ind w:firstLine="720" w:firstLineChars="300"/>
        <w:jc w:val="both"/>
        <w:rPr>
          <w:rFonts w:ascii="Times New Roman" w:hAnsi="Times New Roman" w:cs="Times New Roman"/>
          <w:sz w:val="24"/>
          <w:szCs w:val="24"/>
        </w:rPr>
      </w:pPr>
      <w:r>
        <w:rPr>
          <w:rFonts w:ascii="Times New Roman" w:hAnsi="Times New Roman" w:cs="Times New Roman"/>
          <w:sz w:val="24"/>
          <w:szCs w:val="24"/>
        </w:rPr>
        <w:t>1）查阅结构竣工图，明确原木结构设计要求；</w:t>
      </w:r>
    </w:p>
    <w:p>
      <w:pPr>
        <w:spacing w:line="360" w:lineRule="auto"/>
        <w:ind w:left="958" w:leftChars="342" w:hanging="240" w:hangingChars="100"/>
        <w:jc w:val="both"/>
        <w:rPr>
          <w:rFonts w:ascii="Times New Roman" w:hAnsi="Times New Roman" w:cs="Times New Roman"/>
          <w:sz w:val="24"/>
          <w:szCs w:val="24"/>
        </w:rPr>
      </w:pPr>
      <w:r>
        <w:rPr>
          <w:rFonts w:ascii="Times New Roman" w:hAnsi="Times New Roman" w:cs="Times New Roman"/>
          <w:sz w:val="24"/>
          <w:szCs w:val="24"/>
        </w:rPr>
        <w:t>2）现场检查建筑内所有木结构构件的损伤情况，包括木构件及连接件虫蛀、裂缝，变形及连接锈蚀等；</w:t>
      </w:r>
    </w:p>
    <w:p>
      <w:pPr>
        <w:spacing w:line="360" w:lineRule="auto"/>
        <w:ind w:left="958" w:leftChars="342" w:hanging="240" w:hangingChars="100"/>
        <w:jc w:val="both"/>
        <w:rPr>
          <w:rFonts w:ascii="Times New Roman" w:hAnsi="Times New Roman" w:cs="Times New Roman"/>
          <w:sz w:val="24"/>
          <w:szCs w:val="24"/>
        </w:rPr>
      </w:pPr>
      <w:r>
        <w:rPr>
          <w:rFonts w:ascii="Times New Roman" w:hAnsi="Times New Roman" w:cs="Times New Roman"/>
          <w:sz w:val="24"/>
          <w:szCs w:val="24"/>
        </w:rPr>
        <w:t>3）对存在损伤的构件，按现行行业标准《木结构现场检测技术标准》JGJ/T488进行包括材料性能、尺寸偏差、缺陷、变形、防护性能及连接节点检测，必要时做结构性能检测。</w:t>
      </w:r>
    </w:p>
    <w:p>
      <w:pPr>
        <w:widowControl w:val="0"/>
        <w:numPr>
          <w:ilvl w:val="0"/>
          <w:numId w:val="0"/>
        </w:numPr>
        <w:spacing w:before="0" w:after="0" w:line="360" w:lineRule="auto"/>
        <w:ind w:left="0" w:leftChars="0" w:firstLine="481" w:firstLineChars="200"/>
        <w:jc w:val="both"/>
        <w:outlineLvl w:val="9"/>
        <w:rPr>
          <w:rFonts w:ascii="Times New Roman" w:hAnsi="Times New Roman" w:eastAsia="宋体" w:cs="Times New Roman"/>
          <w:b w:val="0"/>
          <w:bCs/>
          <w:kern w:val="28"/>
          <w:sz w:val="24"/>
          <w:szCs w:val="32"/>
          <w:lang w:val="zh-CN" w:eastAsia="zh-CN" w:bidi="ar-SA"/>
        </w:rPr>
      </w:pPr>
      <w:r>
        <w:rPr>
          <w:rFonts w:hint="eastAsia" w:ascii="Times New Roman" w:hAnsi="Times New Roman" w:eastAsia="宋体" w:cs="Times New Roman"/>
          <w:b/>
          <w:bCs/>
          <w:kern w:val="28"/>
          <w:sz w:val="24"/>
          <w:szCs w:val="32"/>
          <w:lang w:val="zh-CN" w:eastAsia="zh-CN" w:bidi="ar-SA"/>
        </w:rPr>
        <w:t>3</w:t>
      </w:r>
      <w:r>
        <w:rPr>
          <w:rFonts w:ascii="Times New Roman" w:hAnsi="Times New Roman" w:eastAsia="宋体" w:cs="Times New Roman"/>
          <w:b w:val="0"/>
          <w:bCs/>
          <w:kern w:val="28"/>
          <w:sz w:val="24"/>
          <w:szCs w:val="32"/>
          <w:lang w:val="zh-CN" w:eastAsia="zh-CN" w:bidi="ar-SA"/>
        </w:rPr>
        <w:t>检验成果：木结构耐久性检验评估报告。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4.3.6</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【装饰装修材料】装饰装修材料耐久性、易维护性检验应符合下列规定：</w:t>
      </w:r>
    </w:p>
    <w:p>
      <w:pPr>
        <w:widowControl w:val="0"/>
        <w:numPr>
          <w:ilvl w:val="0"/>
          <w:numId w:val="0"/>
        </w:numPr>
        <w:spacing w:before="0" w:after="0" w:line="360" w:lineRule="auto"/>
        <w:ind w:left="900" w:leftChars="0" w:hanging="420" w:firstLineChars="0"/>
        <w:jc w:val="both"/>
        <w:outlineLvl w:val="9"/>
        <w:rPr>
          <w:rFonts w:ascii="Times New Roman" w:hAnsi="Times New Roman" w:eastAsia="宋体" w:cs="Times New Roman"/>
          <w:b w:val="0"/>
          <w:bCs/>
          <w:kern w:val="28"/>
          <w:sz w:val="24"/>
          <w:szCs w:val="32"/>
          <w:lang w:val="zh-CN" w:eastAsia="zh-CN" w:bidi="ar-SA"/>
        </w:rPr>
      </w:pPr>
      <w:r>
        <w:rPr>
          <w:rFonts w:hint="eastAsia" w:ascii="Times New Roman" w:hAnsi="Times New Roman" w:eastAsia="宋体" w:cs="Times New Roman"/>
          <w:b/>
          <w:bCs/>
          <w:kern w:val="28"/>
          <w:sz w:val="24"/>
          <w:szCs w:val="32"/>
          <w:lang w:val="zh-CN" w:eastAsia="zh-CN" w:bidi="ar-SA"/>
        </w:rPr>
        <w:t>1</w:t>
      </w:r>
      <w:r>
        <w:rPr>
          <w:rFonts w:hint="eastAsia" w:cs="Times New Roman"/>
          <w:b/>
          <w:bCs/>
          <w:kern w:val="28"/>
          <w:sz w:val="24"/>
          <w:szCs w:val="32"/>
          <w:lang w:val="en-US" w:eastAsia="zh-CN" w:bidi="ar-SA"/>
        </w:rPr>
        <w:t xml:space="preserve"> </w:t>
      </w:r>
      <w:r>
        <w:rPr>
          <w:rFonts w:ascii="Times New Roman" w:hAnsi="Times New Roman" w:eastAsia="宋体" w:cs="Times New Roman"/>
          <w:b w:val="0"/>
          <w:bCs/>
          <w:kern w:val="28"/>
          <w:sz w:val="24"/>
          <w:szCs w:val="32"/>
          <w:lang w:val="zh-CN" w:eastAsia="zh-CN" w:bidi="ar-SA"/>
        </w:rPr>
        <w:t>检验内容：外饰面材料、防水和密封材料、室内装饰装修材料。</w:t>
      </w:r>
    </w:p>
    <w:p>
      <w:pPr>
        <w:widowControl w:val="0"/>
        <w:numPr>
          <w:ilvl w:val="0"/>
          <w:numId w:val="0"/>
        </w:numPr>
        <w:spacing w:before="0" w:after="0" w:line="360" w:lineRule="auto"/>
        <w:ind w:left="0" w:leftChars="0" w:firstLine="481" w:firstLineChars="200"/>
        <w:jc w:val="both"/>
        <w:outlineLvl w:val="9"/>
        <w:rPr>
          <w:rFonts w:ascii="Times New Roman" w:hAnsi="Times New Roman" w:eastAsia="宋体" w:cs="Times New Roman"/>
          <w:b w:val="0"/>
          <w:bCs/>
          <w:kern w:val="28"/>
          <w:sz w:val="24"/>
          <w:szCs w:val="32"/>
          <w:lang w:val="zh-CN" w:eastAsia="zh-CN" w:bidi="ar-SA"/>
        </w:rPr>
      </w:pPr>
      <w:r>
        <w:rPr>
          <w:rFonts w:hint="eastAsia" w:ascii="Times New Roman" w:hAnsi="Times New Roman" w:eastAsia="宋体" w:cs="Times New Roman"/>
          <w:b/>
          <w:bCs/>
          <w:kern w:val="28"/>
          <w:sz w:val="24"/>
          <w:szCs w:val="32"/>
          <w:lang w:val="zh-CN" w:eastAsia="zh-CN" w:bidi="ar-SA"/>
        </w:rPr>
        <w:t>2</w:t>
      </w:r>
      <w:r>
        <w:rPr>
          <w:rFonts w:hint="eastAsia" w:cs="Times New Roman"/>
          <w:b/>
          <w:bCs/>
          <w:kern w:val="28"/>
          <w:sz w:val="24"/>
          <w:szCs w:val="32"/>
          <w:lang w:val="en-US" w:eastAsia="zh-CN" w:bidi="ar-SA"/>
        </w:rPr>
        <w:t xml:space="preserve"> </w:t>
      </w:r>
      <w:r>
        <w:rPr>
          <w:rFonts w:ascii="Times New Roman" w:hAnsi="Times New Roman" w:eastAsia="宋体" w:cs="Times New Roman"/>
          <w:b w:val="0"/>
          <w:bCs/>
          <w:kern w:val="28"/>
          <w:sz w:val="24"/>
          <w:szCs w:val="32"/>
          <w:lang w:val="zh-CN" w:eastAsia="zh-CN" w:bidi="ar-SA"/>
        </w:rPr>
        <w:t>检验方法：</w:t>
      </w:r>
    </w:p>
    <w:p>
      <w:pPr>
        <w:spacing w:line="360" w:lineRule="auto"/>
        <w:ind w:left="958" w:leftChars="342" w:hanging="240" w:hangingChars="100"/>
        <w:jc w:val="both"/>
        <w:rPr>
          <w:rFonts w:ascii="Times New Roman" w:hAnsi="Times New Roman" w:cs="Times New Roman"/>
          <w:sz w:val="24"/>
          <w:szCs w:val="24"/>
        </w:rPr>
      </w:pPr>
      <w:r>
        <w:rPr>
          <w:rFonts w:ascii="Times New Roman" w:hAnsi="Times New Roman" w:cs="Times New Roman"/>
          <w:sz w:val="24"/>
          <w:szCs w:val="24"/>
        </w:rPr>
        <w:t>1）查阅建筑竣工图及运维维修记录，明确原设计对应的外饰面材料、防水和密封材料、室内装饰装修材料的耐久性、易维护性要求；</w:t>
      </w:r>
    </w:p>
    <w:p>
      <w:pPr>
        <w:spacing w:line="360" w:lineRule="auto"/>
        <w:ind w:left="958" w:leftChars="342" w:hanging="240" w:hangingChars="100"/>
        <w:jc w:val="both"/>
        <w:rPr>
          <w:rFonts w:ascii="Times New Roman" w:hAnsi="Times New Roman" w:cs="Times New Roman"/>
          <w:sz w:val="24"/>
          <w:szCs w:val="24"/>
        </w:rPr>
      </w:pPr>
      <w:r>
        <w:rPr>
          <w:rFonts w:ascii="Times New Roman" w:hAnsi="Times New Roman" w:cs="Times New Roman"/>
          <w:sz w:val="24"/>
          <w:szCs w:val="24"/>
        </w:rPr>
        <w:t>2）外饰面水性氟涂料或耐候性相当的涂料，耐候性应符合行业标准《建筑用水性涂料》HG/T4104-2009中优等品的要求；防水和密封材料应符合现行国家标准《绿色产品评价防水与密封材料》GB/T35609中规定要求；内装饰装修材料中内墙涂料耐洗刷性应</w:t>
      </w:r>
      <w:r>
        <w:rPr>
          <w:rFonts w:hint="eastAsia" w:cs="Times New Roman"/>
          <w:sz w:val="24"/>
          <w:szCs w:val="24"/>
          <w:lang w:val="en-US" w:eastAsia="zh-CN"/>
        </w:rPr>
        <w:t>不少于</w:t>
      </w:r>
      <w:r>
        <w:rPr>
          <w:rFonts w:ascii="Times New Roman" w:hAnsi="Times New Roman" w:cs="Times New Roman"/>
          <w:sz w:val="24"/>
          <w:szCs w:val="24"/>
        </w:rPr>
        <w:t>5000次，陶瓷地砖(有釉砖耐磨性不低于4级，无釉砖</w:t>
      </w:r>
      <w:r>
        <w:rPr>
          <w:rFonts w:hint="eastAsia" w:cs="Times New Roman"/>
          <w:sz w:val="24"/>
          <w:szCs w:val="24"/>
          <w:lang w:val="en-US" w:eastAsia="zh-CN"/>
        </w:rPr>
        <w:t>磨</w:t>
      </w:r>
      <w:r>
        <w:rPr>
          <w:rFonts w:ascii="Times New Roman" w:hAnsi="Times New Roman" w:cs="Times New Roman"/>
          <w:sz w:val="24"/>
          <w:szCs w:val="24"/>
        </w:rPr>
        <w:t>坑体积不大于127mm</w:t>
      </w:r>
      <w:r>
        <w:rPr>
          <w:rFonts w:ascii="Times New Roman" w:hAnsi="Times New Roman" w:cs="Times New Roman"/>
          <w:sz w:val="24"/>
          <w:szCs w:val="24"/>
          <w:vertAlign w:val="superscript"/>
        </w:rPr>
        <w:t>3</w:t>
      </w:r>
      <w:r>
        <w:rPr>
          <w:rFonts w:ascii="Times New Roman" w:hAnsi="Times New Roman" w:cs="Times New Roman"/>
          <w:sz w:val="24"/>
          <w:szCs w:val="24"/>
        </w:rPr>
        <w:t>)，或采用免装饰面层的做法(如清水混凝土，免吊顶设计)等；每类材料的用量比例需不小于80%；</w:t>
      </w:r>
    </w:p>
    <w:p>
      <w:pPr>
        <w:spacing w:line="360" w:lineRule="auto"/>
        <w:ind w:firstLine="720" w:firstLineChars="300"/>
        <w:jc w:val="both"/>
        <w:rPr>
          <w:rFonts w:ascii="Times New Roman" w:hAnsi="Times New Roman" w:cs="Times New Roman"/>
          <w:sz w:val="24"/>
          <w:szCs w:val="24"/>
        </w:rPr>
      </w:pPr>
      <w:r>
        <w:rPr>
          <w:rFonts w:ascii="Times New Roman" w:hAnsi="Times New Roman" w:cs="Times New Roman"/>
          <w:sz w:val="24"/>
          <w:szCs w:val="24"/>
        </w:rPr>
        <w:t>3）现场查验装饰装修现场，是否存在因耐久性不足引起的问题；</w:t>
      </w:r>
    </w:p>
    <w:p>
      <w:pPr>
        <w:spacing w:line="360" w:lineRule="auto"/>
        <w:ind w:firstLine="720" w:firstLineChars="300"/>
        <w:jc w:val="both"/>
        <w:rPr>
          <w:rFonts w:ascii="Times New Roman" w:hAnsi="Times New Roman" w:cs="Times New Roman"/>
          <w:sz w:val="24"/>
          <w:szCs w:val="24"/>
        </w:rPr>
      </w:pPr>
      <w:r>
        <w:rPr>
          <w:rFonts w:ascii="Times New Roman" w:hAnsi="Times New Roman" w:cs="Times New Roman"/>
          <w:sz w:val="24"/>
          <w:szCs w:val="24"/>
        </w:rPr>
        <w:t>4）对后续维修或者新装饰装修采用的材料进行抽样检测：</w:t>
      </w:r>
    </w:p>
    <w:p>
      <w:pPr>
        <w:numPr>
          <w:ilvl w:val="-1"/>
          <w:numId w:val="0"/>
        </w:numPr>
        <w:spacing w:line="360" w:lineRule="auto"/>
        <w:ind w:left="899" w:leftChars="428" w:firstLine="0" w:firstLineChars="0"/>
        <w:jc w:val="both"/>
        <w:rPr>
          <w:rFonts w:ascii="Times New Roman" w:hAnsi="Times New Roman" w:cs="Times New Roman"/>
          <w:sz w:val="24"/>
          <w:szCs w:val="24"/>
        </w:rPr>
      </w:pPr>
      <w:r>
        <w:rPr>
          <w:rFonts w:ascii="Times New Roman" w:hAnsi="Times New Roman" w:cs="Times New Roman"/>
          <w:sz w:val="24"/>
          <w:szCs w:val="24"/>
        </w:rPr>
        <w:t>墙面涂料满足</w:t>
      </w:r>
      <w:r>
        <w:rPr>
          <w:rFonts w:hint="eastAsia" w:cs="Times New Roman"/>
          <w:sz w:val="24"/>
          <w:szCs w:val="24"/>
          <w:lang w:val="en-US" w:eastAsia="zh-CN"/>
        </w:rPr>
        <w:t>行业标准</w:t>
      </w:r>
      <w:r>
        <w:rPr>
          <w:rFonts w:ascii="Times New Roman" w:hAnsi="Times New Roman" w:cs="Times New Roman"/>
          <w:sz w:val="24"/>
          <w:szCs w:val="24"/>
        </w:rPr>
        <w:t>《绿色建材评价 墙面涂料》T/CECS 10039环境属性与品质属性的要求；防水和密封材料应符合现行国家标准《绿色产品评价防水与密封材料》GB/T35609中规定要求；室内装饰装修材料满足相关绿色建材评价标准的性能要求。</w:t>
      </w:r>
    </w:p>
    <w:p>
      <w:pPr>
        <w:widowControl w:val="0"/>
        <w:numPr>
          <w:ilvl w:val="0"/>
          <w:numId w:val="0"/>
        </w:numPr>
        <w:spacing w:before="0" w:after="0" w:line="360" w:lineRule="auto"/>
        <w:ind w:left="0" w:leftChars="0" w:firstLine="481" w:firstLineChars="200"/>
        <w:jc w:val="both"/>
        <w:outlineLvl w:val="9"/>
        <w:rPr>
          <w:rFonts w:ascii="Times New Roman" w:hAnsi="Times New Roman" w:eastAsia="宋体" w:cs="Times New Roman"/>
          <w:b w:val="0"/>
          <w:bCs/>
          <w:kern w:val="28"/>
          <w:sz w:val="24"/>
          <w:szCs w:val="32"/>
          <w:lang w:val="zh-CN" w:eastAsia="zh-CN" w:bidi="ar-SA"/>
        </w:rPr>
      </w:pPr>
      <w:r>
        <w:rPr>
          <w:rFonts w:hint="eastAsia" w:ascii="Times New Roman" w:hAnsi="Times New Roman" w:eastAsia="宋体" w:cs="Times New Roman"/>
          <w:b/>
          <w:bCs/>
          <w:kern w:val="28"/>
          <w:sz w:val="24"/>
          <w:szCs w:val="32"/>
          <w:lang w:val="zh-CN" w:eastAsia="zh-CN" w:bidi="ar-SA"/>
        </w:rPr>
        <w:t>3</w:t>
      </w:r>
      <w:r>
        <w:rPr>
          <w:rFonts w:hint="eastAsia" w:cs="Times New Roman"/>
          <w:b/>
          <w:bCs/>
          <w:kern w:val="28"/>
          <w:sz w:val="24"/>
          <w:szCs w:val="32"/>
          <w:lang w:val="en-US" w:eastAsia="zh-CN" w:bidi="ar-SA"/>
        </w:rPr>
        <w:t xml:space="preserve"> </w:t>
      </w:r>
      <w:r>
        <w:rPr>
          <w:rFonts w:ascii="Times New Roman" w:hAnsi="Times New Roman" w:eastAsia="宋体" w:cs="Times New Roman"/>
          <w:b w:val="0"/>
          <w:bCs/>
          <w:kern w:val="28"/>
          <w:sz w:val="24"/>
          <w:szCs w:val="32"/>
          <w:lang w:val="zh-CN" w:eastAsia="zh-CN" w:bidi="ar-SA"/>
        </w:rPr>
        <w:t>检验成果：装饰装修建筑材料耐久性、易维护性检验报告。</w:t>
      </w:r>
    </w:p>
    <w:p>
      <w:pPr>
        <w:widowControl w:val="0"/>
        <w:spacing w:before="0" w:after="0" w:line="360" w:lineRule="auto"/>
        <w:jc w:val="both"/>
        <w:outlineLvl w:val="9"/>
        <w:rPr>
          <w:rFonts w:ascii="Times New Roman" w:hAnsi="Times New Roman" w:eastAsia="宋体" w:cs="Times New Roman"/>
          <w:b w:val="0"/>
          <w:bCs/>
          <w:kern w:val="28"/>
          <w:sz w:val="24"/>
          <w:szCs w:val="32"/>
          <w:lang w:val="en-US" w:eastAsia="zh-CN" w:bidi="ar-SA"/>
        </w:rPr>
      </w:pPr>
    </w:p>
    <w:p>
      <w:pPr>
        <w:spacing w:line="240" w:lineRule="auto"/>
        <w:jc w:val="both"/>
        <w:rPr>
          <w:rFonts w:ascii="Times New Roman" w:hAnsi="Times New Roman" w:cs="Times New Roman"/>
          <w:szCs w:val="24"/>
          <w:lang w:val="zh-CN"/>
        </w:rPr>
      </w:pPr>
    </w:p>
    <w:p>
      <w:pPr>
        <w:widowControl w:val="0"/>
        <w:spacing w:before="0" w:after="0" w:line="360" w:lineRule="auto"/>
        <w:jc w:val="both"/>
        <w:outlineLvl w:val="9"/>
        <w:rPr>
          <w:rFonts w:ascii="Times New Roman" w:hAnsi="Times New Roman" w:eastAsia="宋体" w:cs="Times New Roman"/>
          <w:b w:val="0"/>
          <w:bCs/>
          <w:kern w:val="28"/>
          <w:sz w:val="24"/>
          <w:szCs w:val="32"/>
          <w:lang w:val="zh-CN" w:eastAsia="zh-CN" w:bidi="ar-SA"/>
        </w:rPr>
      </w:pPr>
    </w:p>
    <w:p>
      <w:pPr>
        <w:spacing w:line="360" w:lineRule="auto"/>
        <w:outlineLvl w:val="9"/>
        <w:rPr>
          <w:bCs/>
        </w:rPr>
        <w:sectPr>
          <w:pgSz w:w="11906" w:h="16838"/>
          <w:pgMar w:top="1440" w:right="1800" w:bottom="1440" w:left="1800" w:header="851" w:footer="992" w:gutter="0"/>
          <w:pgNumType w:fmt="decimal"/>
          <w:cols w:space="720" w:num="1"/>
          <w:docGrid w:type="lines" w:linePitch="312" w:charSpace="0"/>
        </w:sectPr>
      </w:pPr>
    </w:p>
    <w:p>
      <w:pPr>
        <w:keepNext/>
        <w:keepLines/>
        <w:widowControl w:val="0"/>
        <w:numPr>
          <w:ilvl w:val="0"/>
          <w:numId w:val="0"/>
        </w:numPr>
        <w:spacing w:before="340" w:after="330" w:line="578" w:lineRule="auto"/>
        <w:ind w:left="425" w:leftChars="0" w:hanging="425" w:firstLineChars="0"/>
        <w:jc w:val="center"/>
        <w:outlineLvl w:val="0"/>
        <w:rPr>
          <w:rFonts w:ascii="Times New Roman" w:hAnsi="Times New Roman" w:eastAsia="宋体" w:cs="Times New Roman"/>
          <w:b/>
          <w:bCs/>
          <w:kern w:val="44"/>
          <w:sz w:val="28"/>
          <w:szCs w:val="28"/>
          <w:lang w:val="en-US" w:eastAsia="zh-CN" w:bidi="ar-SA"/>
        </w:rPr>
      </w:pPr>
      <w:bookmarkStart w:id="23" w:name="_Toc204157417"/>
      <w:r>
        <w:rPr>
          <w:rFonts w:hint="eastAsia" w:ascii="Times New Roman" w:hAnsi="Times New Roman" w:eastAsia="宋体" w:cs="Times New Roman"/>
          <w:b/>
          <w:bCs/>
          <w:kern w:val="44"/>
          <w:sz w:val="28"/>
          <w:szCs w:val="28"/>
          <w:lang w:val="en-US" w:eastAsia="zh-CN" w:bidi="ar-SA"/>
        </w:rPr>
        <w:t>5</w:t>
      </w:r>
      <w:r>
        <w:rPr>
          <w:rFonts w:ascii="Times New Roman" w:hAnsi="Times New Roman" w:eastAsia="宋体" w:cs="Times New Roman"/>
          <w:b/>
          <w:bCs/>
          <w:kern w:val="44"/>
          <w:sz w:val="28"/>
          <w:szCs w:val="28"/>
          <w:lang w:val="en-US" w:eastAsia="zh-CN" w:bidi="ar-SA"/>
        </w:rPr>
        <w:t>健康舒适</w:t>
      </w:r>
      <w:bookmarkEnd w:id="23"/>
    </w:p>
    <w:p>
      <w:pPr>
        <w:widowControl w:val="0"/>
        <w:spacing w:before="312" w:beforeLines="100" w:after="0" w:line="360" w:lineRule="auto"/>
        <w:jc w:val="center"/>
        <w:outlineLvl w:val="1"/>
        <w:rPr>
          <w:rFonts w:ascii="Times New Roman" w:hAnsi="Times New Roman" w:eastAsia="黑体" w:cs="Times New Roman"/>
          <w:b/>
          <w:bCs/>
          <w:kern w:val="28"/>
          <w:sz w:val="24"/>
          <w:szCs w:val="32"/>
          <w:lang w:val="zh-CN" w:eastAsia="zh-CN" w:bidi="ar-SA"/>
        </w:rPr>
      </w:pPr>
      <w:bookmarkStart w:id="24" w:name="_Toc505781016"/>
      <w:bookmarkStart w:id="25" w:name="_Toc204157418"/>
      <w:r>
        <w:rPr>
          <w:rFonts w:ascii="Times New Roman" w:hAnsi="Times New Roman" w:eastAsia="黑体" w:cs="Times New Roman"/>
          <w:b/>
          <w:bCs/>
          <w:kern w:val="28"/>
          <w:sz w:val="24"/>
          <w:szCs w:val="32"/>
          <w:lang w:val="zh-CN" w:eastAsia="zh" w:bidi="ar-SA"/>
        </w:rPr>
        <w:t>5.1</w:t>
      </w:r>
      <w:r>
        <w:rPr>
          <w:rFonts w:ascii="Times New Roman" w:hAnsi="Times New Roman" w:eastAsia="黑体" w:cs="Times New Roman"/>
          <w:b/>
          <w:bCs/>
          <w:kern w:val="28"/>
          <w:sz w:val="24"/>
          <w:szCs w:val="32"/>
          <w:lang w:val="zh-CN" w:eastAsia="zh-CN" w:bidi="ar-SA"/>
        </w:rPr>
        <w:t>室内声环境</w:t>
      </w:r>
      <w:bookmarkEnd w:id="24"/>
      <w:bookmarkEnd w:id="25"/>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bookmarkStart w:id="26" w:name="_Toc509931167"/>
      <w:bookmarkEnd w:id="26"/>
      <w:bookmarkStart w:id="27" w:name="_Toc505781017"/>
      <w:bookmarkEnd w:id="27"/>
      <w:bookmarkStart w:id="28" w:name="_Toc508654889"/>
      <w:bookmarkEnd w:id="28"/>
      <w:bookmarkStart w:id="29" w:name="_Toc505785573"/>
      <w:bookmarkEnd w:id="29"/>
      <w:bookmarkStart w:id="30" w:name="_Toc9937228"/>
      <w:bookmarkEnd w:id="30"/>
      <w:bookmarkStart w:id="31" w:name="_Toc508701243"/>
      <w:bookmarkEnd w:id="31"/>
      <w:bookmarkStart w:id="32" w:name="_Toc505781018"/>
      <w:r>
        <w:rPr>
          <w:rFonts w:hint="default" w:ascii="Times New Roman" w:hAnsi="Times New Roman" w:eastAsia="宋体" w:cs="Times New Roman"/>
          <w:b/>
          <w:bCs/>
          <w:color w:val="auto"/>
          <w:kern w:val="28"/>
          <w:sz w:val="24"/>
          <w:szCs w:val="24"/>
          <w:lang w:val="zh-CN" w:eastAsia="zh-CN" w:bidi="ar-SA"/>
        </w:rPr>
        <w:t>5.1.1</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建筑物外部噪声源传播至的室内的噪声检验应符合下列规定：</w:t>
      </w:r>
    </w:p>
    <w:p>
      <w:pPr>
        <w:widowControl w:val="0"/>
        <w:numPr>
          <w:ilvl w:val="0"/>
          <w:numId w:val="21"/>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检验内容：建筑物外部噪声源传播至室内的噪声。</w:t>
      </w:r>
    </w:p>
    <w:p>
      <w:pPr>
        <w:widowControl w:val="0"/>
        <w:numPr>
          <w:ilvl w:val="0"/>
          <w:numId w:val="21"/>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val="0"/>
        <w:numPr>
          <w:ilvl w:val="0"/>
          <w:numId w:val="22"/>
        </w:numPr>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查阅建筑室内噪声模拟或分析报告，选取建筑噪声较不利的房间和测试</w:t>
      </w:r>
      <w:r>
        <w:rPr>
          <w:rFonts w:hint="eastAsia" w:cs="Times New Roman"/>
          <w:bCs/>
          <w:kern w:val="2"/>
          <w:sz w:val="24"/>
          <w:szCs w:val="24"/>
          <w:lang w:val="en-US" w:eastAsia="zh-CN" w:bidi="ar-SA"/>
        </w:rPr>
        <w:t xml:space="preserve"> </w:t>
      </w:r>
    </w:p>
    <w:p>
      <w:pPr>
        <w:widowControl w:val="0"/>
        <w:numPr>
          <w:ilvl w:val="-1"/>
          <w:numId w:val="0"/>
        </w:numPr>
        <w:spacing w:line="360" w:lineRule="auto"/>
        <w:ind w:left="567" w:firstLine="240" w:firstLineChars="10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时间进行昼间和夜间噪声检测；</w:t>
      </w:r>
    </w:p>
    <w:p>
      <w:pPr>
        <w:widowControl w:val="0"/>
        <w:numPr>
          <w:ilvl w:val="0"/>
          <w:numId w:val="22"/>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被检测房间进行室外噪声影响下的室内背景噪声检测时，应保证室内及</w:t>
      </w:r>
      <w:r>
        <w:rPr>
          <w:rFonts w:hint="eastAsia" w:cs="Times New Roman"/>
          <w:bCs/>
          <w:kern w:val="2"/>
          <w:sz w:val="24"/>
          <w:szCs w:val="24"/>
          <w:lang w:val="en-US" w:eastAsia="zh-CN" w:bidi="ar-SA"/>
        </w:rPr>
        <w:t xml:space="preserve">  </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可产生噪声影响的设备处于关闭状态；</w:t>
      </w:r>
    </w:p>
    <w:p>
      <w:pPr>
        <w:widowControl w:val="0"/>
        <w:numPr>
          <w:ilvl w:val="0"/>
          <w:numId w:val="22"/>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检测方法应符合现行国家标准《民用建筑隔声设计规范》GB 50118附录</w:t>
      </w:r>
      <w:r>
        <w:rPr>
          <w:rFonts w:hint="eastAsia" w:cs="Times New Roman"/>
          <w:bCs/>
          <w:kern w:val="2"/>
          <w:sz w:val="24"/>
          <w:szCs w:val="24"/>
          <w:lang w:val="en-US" w:eastAsia="zh-CN" w:bidi="ar-SA"/>
        </w:rPr>
        <w:t xml:space="preserve"> </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A的规定。</w:t>
      </w:r>
    </w:p>
    <w:p>
      <w:pPr>
        <w:widowControl w:val="0"/>
        <w:numPr>
          <w:ilvl w:val="0"/>
          <w:numId w:val="21"/>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检验成果：建筑物外部噪声源传播至室内的噪声值检验报告。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5.1.2</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建筑内部设备噪声源传播至室内的噪声检验应符合下列规定：</w:t>
      </w:r>
    </w:p>
    <w:p>
      <w:pPr>
        <w:widowControl w:val="0"/>
        <w:numPr>
          <w:ilvl w:val="0"/>
          <w:numId w:val="23"/>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检验内容：建筑内部设备噪声源传播至室内的噪声。</w:t>
      </w:r>
    </w:p>
    <w:p>
      <w:pPr>
        <w:widowControl w:val="0"/>
        <w:numPr>
          <w:ilvl w:val="0"/>
          <w:numId w:val="23"/>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val="0"/>
        <w:numPr>
          <w:ilvl w:val="0"/>
          <w:numId w:val="24"/>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查阅建筑室内噪声模拟或分析报告，选取建筑物内部设备噪声影响较大</w:t>
      </w:r>
      <w:r>
        <w:rPr>
          <w:rFonts w:hint="eastAsia" w:cs="Times New Roman"/>
          <w:bCs/>
          <w:kern w:val="2"/>
          <w:sz w:val="24"/>
          <w:szCs w:val="24"/>
          <w:lang w:val="en-US" w:eastAsia="zh-CN" w:bidi="ar-SA"/>
        </w:rPr>
        <w:t xml:space="preserve">  </w:t>
      </w:r>
    </w:p>
    <w:p>
      <w:pPr>
        <w:widowControl w:val="0"/>
        <w:numPr>
          <w:ilvl w:val="-1"/>
          <w:numId w:val="0"/>
        </w:numPr>
        <w:adjustRightInd w:val="0"/>
        <w:spacing w:line="360" w:lineRule="auto"/>
        <w:ind w:left="806" w:leftChars="384" w:firstLine="0" w:firstLineChars="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的房间进行室内噪声检测，被测房间数量不得少于受影响房间总数量的5%，并涵盖最不利房间；</w:t>
      </w:r>
    </w:p>
    <w:p>
      <w:pPr>
        <w:widowControl w:val="0"/>
        <w:numPr>
          <w:ilvl w:val="0"/>
          <w:numId w:val="24"/>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检测方法应符合现行国家标准《民用建筑隔声设计规范》GB 50118附录</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A的规定；</w:t>
      </w:r>
    </w:p>
    <w:p>
      <w:pPr>
        <w:widowControl w:val="0"/>
        <w:numPr>
          <w:ilvl w:val="0"/>
          <w:numId w:val="24"/>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室内噪声检测值应符合现行行业标准《环境噪声监测技术规范 噪声测量</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值修正》HJ 706-2014第5条的要求进行修正。</w:t>
      </w:r>
    </w:p>
    <w:p>
      <w:pPr>
        <w:widowControl w:val="0"/>
        <w:numPr>
          <w:ilvl w:val="0"/>
          <w:numId w:val="23"/>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检验成果：建筑内部设备噪声源传播至室内的噪声值检验报告。</w:t>
      </w:r>
    </w:p>
    <w:bookmarkEnd w:id="32"/>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bookmarkStart w:id="33" w:name="_Toc505781019"/>
      <w:r>
        <w:rPr>
          <w:rFonts w:hint="default" w:ascii="Times New Roman" w:hAnsi="Times New Roman" w:eastAsia="宋体" w:cs="Times New Roman"/>
          <w:b/>
          <w:bCs/>
          <w:color w:val="auto"/>
          <w:kern w:val="28"/>
          <w:sz w:val="24"/>
          <w:szCs w:val="24"/>
          <w:lang w:val="zh-CN" w:eastAsia="zh-CN" w:bidi="ar-SA"/>
        </w:rPr>
        <w:t>5.1.3</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楼板撞击声隔声</w:t>
      </w:r>
      <w:bookmarkEnd w:id="33"/>
      <w:r>
        <w:rPr>
          <w:rFonts w:ascii="Times New Roman" w:hAnsi="Times New Roman" w:eastAsia="宋体" w:cs="Times New Roman"/>
          <w:b w:val="0"/>
          <w:bCs/>
          <w:kern w:val="28"/>
          <w:sz w:val="24"/>
          <w:szCs w:val="32"/>
          <w:lang w:val="zh-CN" w:eastAsia="zh-CN" w:bidi="ar-SA"/>
        </w:rPr>
        <w:t>的检验应符合下列规定：</w:t>
      </w:r>
    </w:p>
    <w:p>
      <w:pPr>
        <w:widowControl w:val="0"/>
        <w:numPr>
          <w:ilvl w:val="0"/>
          <w:numId w:val="25"/>
        </w:numPr>
        <w:spacing w:before="0" w:after="0" w:line="360" w:lineRule="auto"/>
        <w:ind w:left="900" w:hanging="42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检验内容：楼板撞击声隔声。</w:t>
      </w:r>
    </w:p>
    <w:p>
      <w:pPr>
        <w:widowControl w:val="0"/>
        <w:numPr>
          <w:ilvl w:val="0"/>
          <w:numId w:val="25"/>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val="0"/>
        <w:numPr>
          <w:ilvl w:val="0"/>
          <w:numId w:val="26"/>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对有楼板撞击声隔声要求的功能房间，应对其进行抽检，每种隔声构造</w:t>
      </w:r>
      <w:r>
        <w:rPr>
          <w:rFonts w:hint="eastAsia" w:cs="Times New Roman"/>
          <w:bCs/>
          <w:kern w:val="2"/>
          <w:sz w:val="24"/>
          <w:szCs w:val="24"/>
          <w:lang w:val="en-US" w:eastAsia="zh-CN" w:bidi="ar-SA"/>
        </w:rPr>
        <w:t xml:space="preserve"> </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做法的功能房间至少抽检一组；</w:t>
      </w:r>
    </w:p>
    <w:p>
      <w:pPr>
        <w:widowControl w:val="0"/>
        <w:numPr>
          <w:ilvl w:val="0"/>
          <w:numId w:val="26"/>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检测方法应符合现行国家标准《声学 建筑和建筑构件隔声测量 第7部</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分：楼板撞击声隔声的现场测量》GB/T 19889.7的规定。</w:t>
      </w:r>
    </w:p>
    <w:p>
      <w:pPr>
        <w:widowControl w:val="0"/>
        <w:numPr>
          <w:ilvl w:val="0"/>
          <w:numId w:val="25"/>
        </w:numPr>
        <w:spacing w:before="0" w:after="0" w:line="360" w:lineRule="auto"/>
        <w:ind w:left="900" w:hanging="42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检验成果：楼板计权标准化撞击声压级检验报告。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bookmarkStart w:id="34" w:name="_Toc505781020"/>
      <w:r>
        <w:rPr>
          <w:rFonts w:hint="default" w:ascii="Times New Roman" w:hAnsi="Times New Roman" w:eastAsia="宋体" w:cs="Times New Roman"/>
          <w:b/>
          <w:bCs/>
          <w:color w:val="auto"/>
          <w:kern w:val="28"/>
          <w:sz w:val="24"/>
          <w:szCs w:val="24"/>
          <w:lang w:val="zh-CN" w:eastAsia="zh-CN" w:bidi="ar-SA"/>
        </w:rPr>
        <w:t>5.1.4</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构件空气声隔声</w:t>
      </w:r>
      <w:bookmarkEnd w:id="34"/>
      <w:r>
        <w:rPr>
          <w:rFonts w:ascii="Times New Roman" w:hAnsi="Times New Roman" w:eastAsia="宋体" w:cs="Times New Roman"/>
          <w:b w:val="0"/>
          <w:bCs/>
          <w:kern w:val="28"/>
          <w:sz w:val="24"/>
          <w:szCs w:val="32"/>
          <w:lang w:val="zh-CN" w:eastAsia="zh-CN" w:bidi="ar-SA"/>
        </w:rPr>
        <w:t>的检验应符合下列规定：</w:t>
      </w:r>
    </w:p>
    <w:p>
      <w:pPr>
        <w:widowControl w:val="0"/>
        <w:numPr>
          <w:ilvl w:val="0"/>
          <w:numId w:val="27"/>
        </w:numPr>
        <w:spacing w:before="0" w:after="0" w:line="360" w:lineRule="auto"/>
        <w:ind w:left="900" w:hanging="42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检验内容：构件空气声隔声。</w:t>
      </w:r>
    </w:p>
    <w:p>
      <w:pPr>
        <w:widowControl w:val="0"/>
        <w:numPr>
          <w:ilvl w:val="0"/>
          <w:numId w:val="27"/>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val="0"/>
        <w:numPr>
          <w:ilvl w:val="0"/>
          <w:numId w:val="28"/>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应对主要功能房间的外墙、隔墙、楼板和门窗进行抽检，每种隔声构造</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做法的功能房间至少抽检一组；</w:t>
      </w:r>
    </w:p>
    <w:p>
      <w:pPr>
        <w:widowControl w:val="0"/>
        <w:numPr>
          <w:ilvl w:val="0"/>
          <w:numId w:val="28"/>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检测方法应符合现行国家标准《声学 建筑和建筑构件隔声测量 第4部</w:t>
      </w:r>
    </w:p>
    <w:p>
      <w:pPr>
        <w:widowControl w:val="0"/>
        <w:numPr>
          <w:ilvl w:val="-1"/>
          <w:numId w:val="0"/>
        </w:numPr>
        <w:adjustRightInd w:val="0"/>
        <w:spacing w:line="360" w:lineRule="auto"/>
        <w:ind w:left="806" w:leftChars="384" w:firstLine="0" w:firstLineChars="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分：房间之间空气声隔声的现场测量》GB/T 19889.4和《声学 建筑和建筑构件隔声测量 第5部分：外墙构件和外墙空气声隔声的现场测量》GB/T 19889.5的规定。</w:t>
      </w:r>
    </w:p>
    <w:p>
      <w:pPr>
        <w:widowControl w:val="0"/>
        <w:numPr>
          <w:ilvl w:val="0"/>
          <w:numId w:val="27"/>
        </w:numPr>
        <w:spacing w:before="0" w:after="0" w:line="360" w:lineRule="auto"/>
        <w:ind w:left="900" w:hanging="42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检验成果：构件计权标准化声压级差检验报告。</w:t>
      </w:r>
    </w:p>
    <w:p>
      <w:pPr>
        <w:spacing w:line="240" w:lineRule="auto"/>
        <w:jc w:val="both"/>
        <w:rPr>
          <w:rFonts w:ascii="Times New Roman" w:hAnsi="Times New Roman" w:cs="Times New Roman"/>
          <w:szCs w:val="24"/>
        </w:rPr>
      </w:pPr>
    </w:p>
    <w:p>
      <w:pPr>
        <w:widowControl w:val="0"/>
        <w:numPr>
          <w:ilvl w:val="1"/>
          <w:numId w:val="0"/>
        </w:numPr>
        <w:spacing w:before="312" w:beforeLines="100" w:after="0" w:line="360" w:lineRule="auto"/>
        <w:ind w:left="567" w:leftChars="0" w:hanging="567" w:firstLineChars="0"/>
        <w:jc w:val="center"/>
        <w:outlineLvl w:val="1"/>
        <w:rPr>
          <w:rFonts w:ascii="Times New Roman" w:hAnsi="Times New Roman" w:eastAsia="黑体" w:cs="Times New Roman"/>
          <w:b/>
          <w:bCs/>
          <w:kern w:val="28"/>
          <w:sz w:val="24"/>
          <w:szCs w:val="32"/>
          <w:lang w:val="zh-CN" w:eastAsia="zh-CN" w:bidi="ar-SA"/>
        </w:rPr>
      </w:pPr>
      <w:bookmarkStart w:id="35" w:name="_Toc505781022"/>
      <w:bookmarkStart w:id="36" w:name="_Toc204157419"/>
      <w:r>
        <w:rPr>
          <w:rFonts w:hint="default" w:ascii="Times New Roman" w:hAnsi="Times New Roman" w:eastAsia="黑体" w:cs="Times New Roman"/>
          <w:b/>
          <w:bCs/>
          <w:kern w:val="28"/>
          <w:sz w:val="24"/>
          <w:szCs w:val="32"/>
          <w:lang w:val="zh-CN" w:eastAsia="zh-CN" w:bidi="ar-SA"/>
        </w:rPr>
        <w:t>5.2</w:t>
      </w:r>
      <w:r>
        <w:rPr>
          <w:rFonts w:ascii="Times New Roman" w:hAnsi="Times New Roman" w:eastAsia="黑体" w:cs="Times New Roman"/>
          <w:b/>
          <w:bCs/>
          <w:kern w:val="28"/>
          <w:sz w:val="24"/>
          <w:szCs w:val="32"/>
          <w:lang w:val="zh-CN" w:eastAsia="zh-CN" w:bidi="ar-SA"/>
        </w:rPr>
        <w:t>室内光环境</w:t>
      </w:r>
      <w:bookmarkEnd w:id="35"/>
      <w:bookmarkEnd w:id="36"/>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bookmarkStart w:id="37" w:name="_Toc509931169"/>
      <w:bookmarkEnd w:id="37"/>
      <w:bookmarkStart w:id="38" w:name="_Toc9937230"/>
      <w:bookmarkEnd w:id="38"/>
      <w:bookmarkStart w:id="39" w:name="_Toc508654891"/>
      <w:bookmarkEnd w:id="39"/>
      <w:bookmarkStart w:id="40" w:name="_Toc505785575"/>
      <w:bookmarkEnd w:id="40"/>
      <w:bookmarkStart w:id="41" w:name="_Toc508701245"/>
      <w:bookmarkEnd w:id="41"/>
      <w:bookmarkStart w:id="42" w:name="_Toc505781023"/>
      <w:bookmarkEnd w:id="42"/>
      <w:bookmarkStart w:id="43" w:name="_Toc505781024"/>
      <w:r>
        <w:rPr>
          <w:rFonts w:hint="default" w:ascii="Times New Roman" w:hAnsi="Times New Roman" w:eastAsia="宋体" w:cs="Times New Roman"/>
          <w:b/>
          <w:bCs/>
          <w:color w:val="auto"/>
          <w:kern w:val="28"/>
          <w:sz w:val="24"/>
          <w:szCs w:val="24"/>
          <w:lang w:val="zh-CN" w:eastAsia="zh-CN" w:bidi="ar-SA"/>
        </w:rPr>
        <w:t>5.2.1</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室内采光系数</w:t>
      </w:r>
      <w:bookmarkEnd w:id="43"/>
      <w:r>
        <w:rPr>
          <w:rFonts w:ascii="Times New Roman" w:hAnsi="Times New Roman" w:eastAsia="宋体" w:cs="Times New Roman"/>
          <w:b w:val="0"/>
          <w:bCs/>
          <w:kern w:val="28"/>
          <w:sz w:val="24"/>
          <w:szCs w:val="32"/>
          <w:lang w:val="zh-CN" w:eastAsia="zh-CN" w:bidi="ar-SA"/>
        </w:rPr>
        <w:t>的检验应符合下列规定：</w:t>
      </w:r>
    </w:p>
    <w:p>
      <w:pPr>
        <w:widowControl w:val="0"/>
        <w:numPr>
          <w:ilvl w:val="0"/>
          <w:numId w:val="29"/>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检验内容：室内采光系数。</w:t>
      </w:r>
    </w:p>
    <w:p>
      <w:pPr>
        <w:widowControl w:val="0"/>
        <w:numPr>
          <w:ilvl w:val="0"/>
          <w:numId w:val="29"/>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val="0"/>
        <w:numPr>
          <w:ilvl w:val="0"/>
          <w:numId w:val="30"/>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查阅室内采光分析报告</w:t>
      </w:r>
      <w:r>
        <w:rPr>
          <w:rFonts w:hint="eastAsia" w:ascii="Times New Roman" w:hAnsi="Times New Roman" w:eastAsia="宋体" w:cs="Times New Roman"/>
          <w:bCs/>
          <w:kern w:val="2"/>
          <w:sz w:val="24"/>
          <w:szCs w:val="24"/>
          <w:lang w:val="en-US" w:eastAsia="zh-CN" w:bidi="ar-SA"/>
        </w:rPr>
        <w:t>、</w:t>
      </w:r>
      <w:r>
        <w:rPr>
          <w:rFonts w:ascii="Times New Roman" w:hAnsi="Times New Roman" w:eastAsia="宋体" w:cs="Times New Roman"/>
          <w:bCs/>
          <w:kern w:val="2"/>
          <w:sz w:val="24"/>
          <w:szCs w:val="24"/>
          <w:lang w:val="en-US" w:eastAsia="zh-CN" w:bidi="ar-SA"/>
        </w:rPr>
        <w:t>竣工图</w:t>
      </w:r>
      <w:r>
        <w:rPr>
          <w:rFonts w:hint="eastAsia" w:ascii="Times New Roman" w:hAnsi="Times New Roman" w:eastAsia="宋体" w:cs="Times New Roman"/>
          <w:bCs/>
          <w:kern w:val="2"/>
          <w:sz w:val="24"/>
          <w:szCs w:val="24"/>
          <w:lang w:val="en-US" w:eastAsia="zh-CN" w:bidi="ar-SA"/>
        </w:rPr>
        <w:t>、玻璃可见光透射比检测报告、建筑室</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bCs/>
          <w:kern w:val="2"/>
          <w:sz w:val="24"/>
          <w:szCs w:val="24"/>
          <w:lang w:val="en-US" w:eastAsia="zh-CN" w:bidi="ar-SA"/>
        </w:rPr>
      </w:pPr>
      <w:r>
        <w:rPr>
          <w:rFonts w:hint="eastAsia" w:ascii="Times New Roman" w:hAnsi="Times New Roman" w:eastAsia="宋体" w:cs="Times New Roman"/>
          <w:bCs/>
          <w:kern w:val="2"/>
          <w:sz w:val="24"/>
          <w:szCs w:val="24"/>
          <w:lang w:val="en-US" w:eastAsia="zh-CN" w:bidi="ar-SA"/>
        </w:rPr>
        <w:t>内饰面材料反射比检测报告</w:t>
      </w:r>
      <w:r>
        <w:rPr>
          <w:rFonts w:ascii="Times New Roman" w:hAnsi="Times New Roman" w:eastAsia="宋体" w:cs="Times New Roman"/>
          <w:bCs/>
          <w:kern w:val="2"/>
          <w:sz w:val="24"/>
          <w:szCs w:val="24"/>
          <w:lang w:val="en-US" w:eastAsia="zh-CN" w:bidi="ar-SA"/>
        </w:rPr>
        <w:t>；</w:t>
      </w:r>
    </w:p>
    <w:p>
      <w:pPr>
        <w:widowControl w:val="0"/>
        <w:numPr>
          <w:ilvl w:val="0"/>
          <w:numId w:val="30"/>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每类功能房间或场所至少抽检1处；</w:t>
      </w:r>
    </w:p>
    <w:p>
      <w:pPr>
        <w:widowControl w:val="0"/>
        <w:numPr>
          <w:ilvl w:val="0"/>
          <w:numId w:val="30"/>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检测方法应符合现行国家标准《采光测量方法》GB/T 5699和《建筑采</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光设计标准》GB 50033的规定。</w:t>
      </w:r>
    </w:p>
    <w:p>
      <w:pPr>
        <w:widowControl w:val="0"/>
        <w:numPr>
          <w:ilvl w:val="0"/>
          <w:numId w:val="29"/>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检验成果：室内采光系数检验报告。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bookmarkStart w:id="44" w:name="_Toc505781025"/>
      <w:r>
        <w:rPr>
          <w:rFonts w:hint="default" w:ascii="Times New Roman" w:hAnsi="Times New Roman" w:eastAsia="宋体" w:cs="Times New Roman"/>
          <w:b/>
          <w:bCs/>
          <w:color w:val="auto"/>
          <w:kern w:val="28"/>
          <w:sz w:val="24"/>
          <w:szCs w:val="24"/>
          <w:lang w:val="zh-CN" w:eastAsia="zh-CN" w:bidi="ar-SA"/>
        </w:rPr>
        <w:t>5.2.2</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建筑照明眩光</w:t>
      </w:r>
      <w:bookmarkEnd w:id="44"/>
      <w:r>
        <w:rPr>
          <w:rFonts w:ascii="Times New Roman" w:hAnsi="Times New Roman" w:eastAsia="宋体" w:cs="Times New Roman"/>
          <w:b w:val="0"/>
          <w:bCs/>
          <w:kern w:val="28"/>
          <w:sz w:val="24"/>
          <w:szCs w:val="32"/>
          <w:lang w:val="zh-CN" w:eastAsia="zh-CN" w:bidi="ar-SA"/>
        </w:rPr>
        <w:t>的检验应符合下列规定：</w:t>
      </w:r>
    </w:p>
    <w:p>
      <w:pPr>
        <w:widowControl w:val="0"/>
        <w:numPr>
          <w:ilvl w:val="0"/>
          <w:numId w:val="31"/>
        </w:numPr>
        <w:spacing w:before="0" w:after="0" w:line="360" w:lineRule="auto"/>
        <w:ind w:left="900" w:hanging="42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检验内容：建筑照明眩光。</w:t>
      </w:r>
    </w:p>
    <w:p>
      <w:pPr>
        <w:widowControl w:val="0"/>
        <w:numPr>
          <w:ilvl w:val="0"/>
          <w:numId w:val="31"/>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val="0"/>
        <w:numPr>
          <w:ilvl w:val="0"/>
          <w:numId w:val="32"/>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有眩光要求的每类功能房间或场所应至少抽检1处；</w:t>
      </w:r>
    </w:p>
    <w:p>
      <w:pPr>
        <w:widowControl w:val="0"/>
        <w:numPr>
          <w:ilvl w:val="0"/>
          <w:numId w:val="32"/>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检测方法应符合现行国家标准《照明测量方法》GB/T 5700 的规定；</w:t>
      </w:r>
    </w:p>
    <w:p>
      <w:pPr>
        <w:widowControl w:val="0"/>
        <w:numPr>
          <w:ilvl w:val="0"/>
          <w:numId w:val="32"/>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眩光计算应符合现行国家标准《建筑照明设计标准》GB 50034 附录A</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的规定。</w:t>
      </w:r>
    </w:p>
    <w:p>
      <w:pPr>
        <w:widowControl w:val="0"/>
        <w:numPr>
          <w:ilvl w:val="0"/>
          <w:numId w:val="31"/>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检验成果：建筑照明眩光检验报告。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bookmarkStart w:id="45" w:name="_Toc505781026"/>
      <w:r>
        <w:rPr>
          <w:rFonts w:hint="default" w:ascii="Times New Roman" w:hAnsi="Times New Roman" w:eastAsia="宋体" w:cs="Times New Roman"/>
          <w:b/>
          <w:bCs/>
          <w:color w:val="auto"/>
          <w:kern w:val="28"/>
          <w:sz w:val="24"/>
          <w:szCs w:val="24"/>
          <w:lang w:val="zh-CN" w:eastAsia="zh-CN" w:bidi="ar-SA"/>
        </w:rPr>
        <w:t>5.2.3</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建筑照度值</w:t>
      </w:r>
      <w:bookmarkEnd w:id="45"/>
      <w:r>
        <w:rPr>
          <w:rFonts w:ascii="Times New Roman" w:hAnsi="Times New Roman" w:eastAsia="宋体" w:cs="Times New Roman"/>
          <w:b w:val="0"/>
          <w:bCs/>
          <w:kern w:val="28"/>
          <w:sz w:val="24"/>
          <w:szCs w:val="32"/>
          <w:lang w:val="zh-CN" w:eastAsia="zh-CN" w:bidi="ar-SA"/>
        </w:rPr>
        <w:t>的检验应符合下列规定：</w:t>
      </w:r>
    </w:p>
    <w:p>
      <w:pPr>
        <w:widowControl w:val="0"/>
        <w:numPr>
          <w:ilvl w:val="0"/>
          <w:numId w:val="33"/>
        </w:numPr>
        <w:spacing w:before="0" w:after="0" w:line="360" w:lineRule="auto"/>
        <w:ind w:left="900" w:hanging="42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检验内容：建筑照度值。</w:t>
      </w:r>
    </w:p>
    <w:p>
      <w:pPr>
        <w:widowControl w:val="0"/>
        <w:numPr>
          <w:ilvl w:val="0"/>
          <w:numId w:val="33"/>
        </w:numPr>
        <w:spacing w:before="0" w:after="0" w:line="360" w:lineRule="auto"/>
        <w:ind w:left="900" w:hanging="42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val="0"/>
        <w:numPr>
          <w:ilvl w:val="0"/>
          <w:numId w:val="34"/>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每类功能房间或场所应至少抽检1</w:t>
      </w:r>
      <w:r>
        <w:rPr>
          <w:rFonts w:ascii="Times New Roman" w:hAnsi="Times New Roman" w:eastAsia="宋体" w:cs="Times New Roman"/>
          <w:bCs/>
          <w:kern w:val="2"/>
          <w:sz w:val="24"/>
          <w:szCs w:val="24"/>
          <w:lang w:val="en-US" w:eastAsia="zh" w:bidi="ar-SA"/>
        </w:rPr>
        <w:t>处</w:t>
      </w:r>
      <w:r>
        <w:rPr>
          <w:rFonts w:ascii="Times New Roman" w:hAnsi="Times New Roman" w:eastAsia="宋体" w:cs="Times New Roman"/>
          <w:bCs/>
          <w:kern w:val="2"/>
          <w:sz w:val="24"/>
          <w:szCs w:val="24"/>
          <w:lang w:val="en-US" w:eastAsia="zh-CN" w:bidi="ar-SA"/>
        </w:rPr>
        <w:t>；</w:t>
      </w:r>
    </w:p>
    <w:p>
      <w:pPr>
        <w:widowControl w:val="0"/>
        <w:numPr>
          <w:ilvl w:val="0"/>
          <w:numId w:val="34"/>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检测方法应符合现行国家标准《照明测量方法》GB/T 5700 的规定。</w:t>
      </w:r>
    </w:p>
    <w:p>
      <w:pPr>
        <w:widowControl w:val="0"/>
        <w:numPr>
          <w:ilvl w:val="0"/>
          <w:numId w:val="33"/>
        </w:numPr>
        <w:spacing w:before="0" w:after="0" w:line="360" w:lineRule="auto"/>
        <w:ind w:left="900" w:hanging="42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检验成果：建筑照度值检验报告。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bookmarkStart w:id="46" w:name="_Toc505781027"/>
      <w:r>
        <w:rPr>
          <w:rFonts w:hint="default" w:ascii="Times New Roman" w:hAnsi="Times New Roman" w:eastAsia="宋体" w:cs="Times New Roman"/>
          <w:b/>
          <w:bCs/>
          <w:color w:val="auto"/>
          <w:kern w:val="28"/>
          <w:sz w:val="24"/>
          <w:szCs w:val="24"/>
          <w:lang w:val="zh-CN" w:eastAsia="zh-CN" w:bidi="ar-SA"/>
        </w:rPr>
        <w:t>5.2.4</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一般显色指数</w:t>
      </w:r>
      <w:bookmarkEnd w:id="46"/>
      <w:r>
        <w:rPr>
          <w:rFonts w:ascii="Times New Roman" w:hAnsi="Times New Roman" w:eastAsia="宋体" w:cs="Times New Roman"/>
          <w:b w:val="0"/>
          <w:bCs/>
          <w:kern w:val="28"/>
          <w:sz w:val="24"/>
          <w:szCs w:val="32"/>
          <w:lang w:val="zh-CN" w:eastAsia="zh-CN" w:bidi="ar-SA"/>
        </w:rPr>
        <w:t>的检验应符合下列规定：</w:t>
      </w:r>
    </w:p>
    <w:p>
      <w:pPr>
        <w:widowControl w:val="0"/>
        <w:numPr>
          <w:ilvl w:val="0"/>
          <w:numId w:val="35"/>
        </w:numPr>
        <w:spacing w:before="0" w:after="0" w:line="360" w:lineRule="auto"/>
        <w:ind w:left="900" w:hanging="42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检验内容：一般显色指数。</w:t>
      </w:r>
    </w:p>
    <w:p>
      <w:pPr>
        <w:widowControl w:val="0"/>
        <w:numPr>
          <w:ilvl w:val="0"/>
          <w:numId w:val="35"/>
        </w:numPr>
        <w:spacing w:before="0" w:after="0" w:line="360" w:lineRule="auto"/>
        <w:ind w:left="900" w:hanging="42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val="0"/>
        <w:numPr>
          <w:ilvl w:val="0"/>
          <w:numId w:val="36"/>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每类功能房间或场所应至少抽检 1</w:t>
      </w:r>
      <w:r>
        <w:rPr>
          <w:rFonts w:ascii="Times New Roman" w:hAnsi="Times New Roman" w:eastAsia="宋体" w:cs="Times New Roman"/>
          <w:bCs/>
          <w:kern w:val="2"/>
          <w:sz w:val="24"/>
          <w:szCs w:val="24"/>
          <w:lang w:val="en-US" w:eastAsia="zh" w:bidi="ar-SA"/>
        </w:rPr>
        <w:t>处</w:t>
      </w:r>
      <w:r>
        <w:rPr>
          <w:rFonts w:ascii="Times New Roman" w:hAnsi="Times New Roman" w:eastAsia="宋体" w:cs="Times New Roman"/>
          <w:bCs/>
          <w:kern w:val="2"/>
          <w:sz w:val="24"/>
          <w:szCs w:val="24"/>
          <w:lang w:val="en-US" w:eastAsia="zh-CN" w:bidi="ar-SA"/>
        </w:rPr>
        <w:t>；</w:t>
      </w:r>
    </w:p>
    <w:p>
      <w:pPr>
        <w:widowControl w:val="0"/>
        <w:numPr>
          <w:ilvl w:val="0"/>
          <w:numId w:val="36"/>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检测方法应符合现行国家标准《照明光源颜色的测量方法》GB/T7922</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和《光源显色性评价方法》GB/T 5702的规定。</w:t>
      </w:r>
    </w:p>
    <w:p>
      <w:pPr>
        <w:widowControl w:val="0"/>
        <w:numPr>
          <w:ilvl w:val="0"/>
          <w:numId w:val="35"/>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检验成果：一般显色指数检验报告。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5.2.5</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频闪效应可视度SVM的检验应符合下列规定</w:t>
      </w:r>
    </w:p>
    <w:p>
      <w:pPr>
        <w:widowControl w:val="0"/>
        <w:numPr>
          <w:ilvl w:val="0"/>
          <w:numId w:val="37"/>
        </w:numPr>
        <w:spacing w:before="0" w:after="0" w:line="360" w:lineRule="auto"/>
        <w:ind w:left="900" w:hanging="42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检验内容：频闪效应可视度。</w:t>
      </w:r>
    </w:p>
    <w:p>
      <w:pPr>
        <w:widowControl w:val="0"/>
        <w:numPr>
          <w:ilvl w:val="0"/>
          <w:numId w:val="37"/>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 xml:space="preserve">检验方法： </w:t>
      </w:r>
    </w:p>
    <w:p>
      <w:pPr>
        <w:widowControl w:val="0"/>
        <w:numPr>
          <w:ilvl w:val="0"/>
          <w:numId w:val="38"/>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检测方法应符合</w:t>
      </w:r>
      <w:r>
        <w:rPr>
          <w:rFonts w:hint="default" w:cs="Times New Roman"/>
          <w:bCs/>
          <w:kern w:val="2"/>
          <w:sz w:val="24"/>
          <w:szCs w:val="24"/>
          <w:lang w:val="en-US" w:eastAsia="zh-CN" w:bidi="ar-SA"/>
        </w:rPr>
        <w:t>现行国家标准</w:t>
      </w:r>
      <w:r>
        <w:rPr>
          <w:rFonts w:ascii="Times New Roman" w:hAnsi="Times New Roman" w:eastAsia="宋体" w:cs="Times New Roman"/>
          <w:bCs/>
          <w:kern w:val="2"/>
          <w:sz w:val="24"/>
          <w:szCs w:val="24"/>
          <w:lang w:val="en-US" w:eastAsia="zh-CN" w:bidi="ar-SA"/>
        </w:rPr>
        <w:t>《照明测量方法》GB/T 5700 的规定</w:t>
      </w:r>
      <w:r>
        <w:rPr>
          <w:rFonts w:hint="default" w:cs="Times New Roman"/>
          <w:bCs/>
          <w:kern w:val="2"/>
          <w:sz w:val="24"/>
          <w:szCs w:val="24"/>
          <w:lang w:val="en-US" w:eastAsia="zh-CN" w:bidi="ar-SA"/>
        </w:rPr>
        <w:t>。</w:t>
      </w:r>
    </w:p>
    <w:p>
      <w:pPr>
        <w:widowControl w:val="0"/>
        <w:numPr>
          <w:ilvl w:val="0"/>
          <w:numId w:val="38"/>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频闪效应可视度应在人员长时间停留区域和可触及危险操作区域的视觉</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作业面进行测量，每类房间抽检不少于一处，每个场地测量点的数量不</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应少于9个，住宅单个房间可不少于3个，取其最大值作为该被测照明</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现场的频闪效应可视度测试结果。</w:t>
      </w:r>
    </w:p>
    <w:p>
      <w:pPr>
        <w:widowControl w:val="0"/>
        <w:numPr>
          <w:ilvl w:val="0"/>
          <w:numId w:val="37"/>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检验成果：频闪效应可视度检验报告。</w:t>
      </w:r>
    </w:p>
    <w:p>
      <w:pPr>
        <w:widowControl w:val="0"/>
        <w:numPr>
          <w:ilvl w:val="1"/>
          <w:numId w:val="0"/>
        </w:numPr>
        <w:spacing w:before="312" w:beforeLines="100" w:after="0" w:line="360" w:lineRule="auto"/>
        <w:ind w:left="567" w:leftChars="0" w:hanging="567" w:firstLineChars="0"/>
        <w:jc w:val="center"/>
        <w:outlineLvl w:val="1"/>
        <w:rPr>
          <w:rFonts w:ascii="Times New Roman" w:hAnsi="Times New Roman" w:eastAsia="黑体" w:cs="Times New Roman"/>
          <w:b/>
          <w:bCs/>
          <w:kern w:val="28"/>
          <w:sz w:val="24"/>
          <w:szCs w:val="32"/>
          <w:lang w:val="zh-CN" w:eastAsia="zh-CN" w:bidi="ar-SA"/>
        </w:rPr>
      </w:pPr>
      <w:bookmarkStart w:id="47" w:name="_Toc204157420"/>
      <w:bookmarkStart w:id="48" w:name="_Toc505781028"/>
      <w:r>
        <w:rPr>
          <w:rFonts w:hint="default" w:ascii="Times New Roman" w:hAnsi="Times New Roman" w:eastAsia="黑体" w:cs="Times New Roman"/>
          <w:b/>
          <w:bCs/>
          <w:kern w:val="28"/>
          <w:sz w:val="24"/>
          <w:szCs w:val="32"/>
          <w:lang w:val="zh-CN" w:eastAsia="zh-CN" w:bidi="ar-SA"/>
        </w:rPr>
        <w:t>5.3</w:t>
      </w:r>
      <w:r>
        <w:rPr>
          <w:rFonts w:ascii="Times New Roman" w:hAnsi="Times New Roman" w:eastAsia="黑体" w:cs="Times New Roman"/>
          <w:b/>
          <w:bCs/>
          <w:kern w:val="28"/>
          <w:sz w:val="24"/>
          <w:szCs w:val="32"/>
          <w:lang w:val="zh-CN" w:eastAsia="zh-CN" w:bidi="ar-SA"/>
        </w:rPr>
        <w:t>室内热湿环境</w:t>
      </w:r>
      <w:bookmarkEnd w:id="47"/>
      <w:bookmarkEnd w:id="48"/>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bookmarkStart w:id="49" w:name="_Toc505781029"/>
      <w:r>
        <w:rPr>
          <w:rFonts w:hint="default" w:ascii="Times New Roman" w:hAnsi="Times New Roman" w:eastAsia="宋体" w:cs="Times New Roman"/>
          <w:b/>
          <w:bCs/>
          <w:color w:val="auto"/>
          <w:kern w:val="28"/>
          <w:sz w:val="24"/>
          <w:szCs w:val="24"/>
          <w:lang w:val="zh-CN" w:eastAsia="zh-CN" w:bidi="ar-SA"/>
        </w:rPr>
        <w:t>5.3.1</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室内热湿环境</w:t>
      </w:r>
      <w:bookmarkEnd w:id="49"/>
      <w:r>
        <w:rPr>
          <w:rFonts w:ascii="Times New Roman" w:hAnsi="Times New Roman" w:eastAsia="宋体" w:cs="Times New Roman"/>
          <w:b w:val="0"/>
          <w:bCs/>
          <w:kern w:val="28"/>
          <w:sz w:val="24"/>
          <w:szCs w:val="32"/>
          <w:lang w:val="zh-CN" w:eastAsia="zh-CN" w:bidi="ar-SA"/>
        </w:rPr>
        <w:t>的检验应符合下列规定：</w:t>
      </w:r>
    </w:p>
    <w:p>
      <w:pPr>
        <w:widowControl w:val="0"/>
        <w:numPr>
          <w:ilvl w:val="0"/>
          <w:numId w:val="39"/>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检验内容：室内热湿环境。</w:t>
      </w:r>
    </w:p>
    <w:p>
      <w:pPr>
        <w:widowControl w:val="0"/>
        <w:numPr>
          <w:ilvl w:val="0"/>
          <w:numId w:val="39"/>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val="0"/>
        <w:numPr>
          <w:ilvl w:val="0"/>
          <w:numId w:val="40"/>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对于自然通风或复合通风工况下的室内热湿环境应进行室内干球温度连</w:t>
      </w:r>
    </w:p>
    <w:p>
      <w:pPr>
        <w:widowControl w:val="0"/>
        <w:numPr>
          <w:ilvl w:val="-1"/>
          <w:numId w:val="0"/>
        </w:numPr>
        <w:adjustRightInd w:val="0"/>
        <w:spacing w:line="360" w:lineRule="auto"/>
        <w:ind w:left="766" w:leftChars="365" w:firstLine="0" w:firstLineChars="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续监测，对于供暖、空调工况下的室内热湿环境应进行室内干球温度、湿度连续监测，监测时长不少于两周，最大时间间隔不大于30分钟；室内气流平均速度应在室内运行典型工况下进行检测；</w:t>
      </w:r>
    </w:p>
    <w:p>
      <w:pPr>
        <w:widowControl w:val="0"/>
        <w:numPr>
          <w:ilvl w:val="0"/>
          <w:numId w:val="40"/>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 xml:space="preserve">检测方法应符合现行国家标准《民用建筑室内热湿环境评价标准》GB/T </w:t>
      </w:r>
    </w:p>
    <w:p>
      <w:pPr>
        <w:widowControl w:val="0"/>
        <w:numPr>
          <w:ilvl w:val="-1"/>
          <w:numId w:val="0"/>
        </w:numPr>
        <w:adjustRightInd w:val="0"/>
        <w:spacing w:line="360" w:lineRule="auto"/>
        <w:ind w:left="806" w:leftChars="384" w:firstLine="0" w:firstLineChars="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50785和《公共建筑节能设计标准》GB 50189的规定，每类典型功能房间至少抽检 1处。</w:t>
      </w:r>
    </w:p>
    <w:p>
      <w:pPr>
        <w:widowControl w:val="0"/>
        <w:numPr>
          <w:ilvl w:val="0"/>
          <w:numId w:val="39"/>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检验成果：人工冷热源室内热湿环境检验报告、非人工热源室内热湿环境检验报告。</w:t>
      </w:r>
    </w:p>
    <w:p>
      <w:pPr>
        <w:spacing w:line="240" w:lineRule="auto"/>
        <w:jc w:val="both"/>
        <w:rPr>
          <w:rFonts w:ascii="Times New Roman" w:hAnsi="Times New Roman" w:cs="Times New Roman"/>
          <w:szCs w:val="24"/>
        </w:rPr>
      </w:pPr>
    </w:p>
    <w:p>
      <w:pPr>
        <w:widowControl w:val="0"/>
        <w:numPr>
          <w:ilvl w:val="1"/>
          <w:numId w:val="0"/>
        </w:numPr>
        <w:spacing w:before="312" w:beforeLines="100" w:after="0" w:line="360" w:lineRule="auto"/>
        <w:ind w:left="567" w:leftChars="0" w:hanging="567" w:firstLineChars="0"/>
        <w:jc w:val="center"/>
        <w:outlineLvl w:val="1"/>
        <w:rPr>
          <w:rFonts w:ascii="Times New Roman" w:hAnsi="Times New Roman" w:eastAsia="黑体" w:cs="Times New Roman"/>
          <w:b/>
          <w:bCs/>
          <w:kern w:val="28"/>
          <w:sz w:val="24"/>
          <w:szCs w:val="32"/>
          <w:lang w:val="zh-CN" w:eastAsia="zh-CN" w:bidi="ar-SA"/>
        </w:rPr>
      </w:pPr>
      <w:bookmarkStart w:id="50" w:name="_Toc505781034"/>
      <w:bookmarkStart w:id="51" w:name="_Toc204157421"/>
      <w:r>
        <w:rPr>
          <w:rFonts w:hint="default" w:ascii="Times New Roman" w:hAnsi="Times New Roman" w:eastAsia="黑体" w:cs="Times New Roman"/>
          <w:b/>
          <w:bCs/>
          <w:kern w:val="28"/>
          <w:sz w:val="24"/>
          <w:szCs w:val="32"/>
          <w:lang w:val="zh-CN" w:eastAsia="zh-CN" w:bidi="ar-SA"/>
        </w:rPr>
        <w:t>5.4</w:t>
      </w:r>
      <w:r>
        <w:rPr>
          <w:rFonts w:ascii="Times New Roman" w:hAnsi="Times New Roman" w:eastAsia="黑体" w:cs="Times New Roman"/>
          <w:b/>
          <w:bCs/>
          <w:kern w:val="28"/>
          <w:sz w:val="24"/>
          <w:szCs w:val="32"/>
          <w:lang w:val="zh-CN" w:eastAsia="zh-CN" w:bidi="ar-SA"/>
        </w:rPr>
        <w:t>室内空气质量</w:t>
      </w:r>
      <w:bookmarkEnd w:id="50"/>
      <w:bookmarkEnd w:id="51"/>
    </w:p>
    <w:p>
      <w:pPr>
        <w:widowControl w:val="0"/>
        <w:numPr>
          <w:ilvl w:val="2"/>
          <w:numId w:val="0"/>
        </w:numPr>
        <w:spacing w:before="0" w:after="0" w:line="360" w:lineRule="auto"/>
        <w:jc w:val="both"/>
        <w:outlineLvl w:val="9"/>
        <w:rPr>
          <w:rFonts w:ascii="Times New Roman" w:hAnsi="Times New Roman" w:eastAsia="宋体" w:cs="Times New Roman"/>
          <w:b w:val="0"/>
          <w:bCs/>
          <w:kern w:val="28"/>
          <w:sz w:val="21"/>
          <w:szCs w:val="21"/>
          <w:lang w:val="zh-CN" w:eastAsia="zh-CN" w:bidi="ar-SA"/>
        </w:rPr>
      </w:pPr>
      <w:r>
        <w:rPr>
          <w:rFonts w:hint="default" w:ascii="Times New Roman" w:hAnsi="Times New Roman" w:eastAsia="宋体" w:cs="Times New Roman"/>
          <w:b/>
          <w:bCs/>
          <w:color w:val="auto"/>
          <w:kern w:val="28"/>
          <w:sz w:val="24"/>
          <w:szCs w:val="24"/>
          <w:lang w:val="zh-CN" w:eastAsia="zh-CN" w:bidi="ar-SA"/>
        </w:rPr>
        <w:t>5.4.1</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新风量的检验应符合下列规定：</w:t>
      </w:r>
    </w:p>
    <w:p>
      <w:pPr>
        <w:widowControl w:val="0"/>
        <w:numPr>
          <w:ilvl w:val="0"/>
          <w:numId w:val="41"/>
        </w:numPr>
        <w:spacing w:before="0" w:after="0" w:line="360" w:lineRule="auto"/>
        <w:ind w:left="900" w:hanging="42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检验内容：新风量。</w:t>
      </w:r>
    </w:p>
    <w:p>
      <w:pPr>
        <w:widowControl w:val="0"/>
        <w:numPr>
          <w:ilvl w:val="0"/>
          <w:numId w:val="41"/>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val="0"/>
        <w:numPr>
          <w:ilvl w:val="0"/>
          <w:numId w:val="42"/>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组合式空调机组抽检比例不应少于20%</w:t>
      </w:r>
      <w:r>
        <w:rPr>
          <w:rFonts w:hint="eastAsia" w:ascii="Times New Roman" w:hAnsi="Times New Roman" w:eastAsia="宋体" w:cs="Times New Roman"/>
          <w:bCs/>
          <w:kern w:val="2"/>
          <w:sz w:val="24"/>
          <w:szCs w:val="24"/>
          <w:lang w:val="en-US" w:eastAsia="zh-CN" w:bidi="ar-SA"/>
        </w:rPr>
        <w:t>，</w:t>
      </w:r>
      <w:r>
        <w:rPr>
          <w:rFonts w:ascii="Times New Roman" w:hAnsi="Times New Roman" w:eastAsia="宋体" w:cs="Times New Roman"/>
          <w:bCs/>
          <w:kern w:val="2"/>
          <w:sz w:val="24"/>
          <w:szCs w:val="24"/>
          <w:lang w:val="en-US" w:eastAsia="zh-CN" w:bidi="ar-SA"/>
        </w:rPr>
        <w:t>不同风量的系统不应少于1个；</w:t>
      </w:r>
    </w:p>
    <w:p>
      <w:pPr>
        <w:widowControl w:val="0"/>
        <w:numPr>
          <w:ilvl w:val="0"/>
          <w:numId w:val="42"/>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检测方法应符合现行行业标准《公共建筑节能检测标准》JGJ/T 177的规</w:t>
      </w:r>
      <w:r>
        <w:rPr>
          <w:rFonts w:hint="eastAsia" w:cs="Times New Roman"/>
          <w:bCs/>
          <w:kern w:val="2"/>
          <w:sz w:val="24"/>
          <w:szCs w:val="24"/>
          <w:lang w:val="en-US" w:eastAsia="zh-CN" w:bidi="ar-SA"/>
        </w:rPr>
        <w:t xml:space="preserve">  </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定。</w:t>
      </w:r>
    </w:p>
    <w:p>
      <w:pPr>
        <w:widowControl w:val="0"/>
        <w:numPr>
          <w:ilvl w:val="0"/>
          <w:numId w:val="41"/>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检验成果：新风量检验报告。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5.4.2</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室内空气污染物浓度的检验应符合下列规定：</w:t>
      </w:r>
    </w:p>
    <w:p>
      <w:pPr>
        <w:widowControl w:val="0"/>
        <w:numPr>
          <w:ilvl w:val="0"/>
          <w:numId w:val="43"/>
        </w:numPr>
        <w:spacing w:before="0" w:after="0" w:line="360" w:lineRule="auto"/>
        <w:ind w:left="900" w:hanging="42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检验内容：室内空气污染物浓度。</w:t>
      </w:r>
    </w:p>
    <w:p>
      <w:pPr>
        <w:widowControl w:val="0"/>
        <w:numPr>
          <w:ilvl w:val="0"/>
          <w:numId w:val="43"/>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val="0"/>
        <w:numPr>
          <w:ilvl w:val="0"/>
          <w:numId w:val="44"/>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应对甲醛、苯、甲苯、二甲苯、总挥发性有机物、PM2.5、氡和氨等空</w:t>
      </w:r>
    </w:p>
    <w:p>
      <w:pPr>
        <w:widowControl w:val="0"/>
        <w:numPr>
          <w:ilvl w:val="-1"/>
          <w:numId w:val="0"/>
        </w:numPr>
        <w:adjustRightInd w:val="0"/>
        <w:spacing w:line="360" w:lineRule="auto"/>
        <w:ind w:left="806" w:leftChars="384" w:firstLine="0" w:firstLineChars="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气污染物浓度进行现场检测，其他空气污染物可根据要求确定是否需要现场检测；</w:t>
      </w:r>
    </w:p>
    <w:p>
      <w:pPr>
        <w:widowControl w:val="0"/>
        <w:numPr>
          <w:ilvl w:val="0"/>
          <w:numId w:val="44"/>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结果应符合现行国家标准《室内空气质量标准》GB/T 18883中的规定；</w:t>
      </w:r>
    </w:p>
    <w:p>
      <w:pPr>
        <w:widowControl w:val="0"/>
        <w:numPr>
          <w:ilvl w:val="0"/>
          <w:numId w:val="44"/>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检测方法应符合现行国家标准《室内空气质量标准》GB/T 18883和《环</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境空气 PM10和PM2.5的测定 重量法》HJ 618的规定。</w:t>
      </w:r>
    </w:p>
    <w:p>
      <w:pPr>
        <w:widowControl w:val="0"/>
        <w:numPr>
          <w:ilvl w:val="0"/>
          <w:numId w:val="43"/>
        </w:numPr>
        <w:spacing w:before="0" w:after="0" w:line="360" w:lineRule="auto"/>
        <w:ind w:left="900" w:hanging="42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检验成果：室内空气污染物浓度检验报告。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5.4.3</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污染物释放房间室内负压的检验应符合下列规定：</w:t>
      </w:r>
    </w:p>
    <w:p>
      <w:pPr>
        <w:widowControl w:val="0"/>
        <w:numPr>
          <w:ilvl w:val="0"/>
          <w:numId w:val="45"/>
        </w:numPr>
        <w:spacing w:before="0" w:after="0" w:line="360" w:lineRule="auto"/>
        <w:ind w:left="900" w:hanging="42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检验内容：污染物释放房间室内负压。</w:t>
      </w:r>
    </w:p>
    <w:p>
      <w:pPr>
        <w:widowControl w:val="0"/>
        <w:numPr>
          <w:ilvl w:val="0"/>
          <w:numId w:val="45"/>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检验方法：应符合现行行业标准《采暖通风与空气调节工程检测技术规程》JGJ/T 260的规定。</w:t>
      </w:r>
    </w:p>
    <w:p>
      <w:pPr>
        <w:widowControl w:val="0"/>
        <w:numPr>
          <w:ilvl w:val="0"/>
          <w:numId w:val="45"/>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检验成果：污染物释放房间室内负压检验报告。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5.4.4</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室内空气质量监控系统功能的检验应符合下列规定：</w:t>
      </w:r>
    </w:p>
    <w:p>
      <w:pPr>
        <w:widowControl w:val="0"/>
        <w:numPr>
          <w:ilvl w:val="0"/>
          <w:numId w:val="46"/>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检验内容：设计文件、运行记录和监控功能。</w:t>
      </w:r>
    </w:p>
    <w:p>
      <w:pPr>
        <w:widowControl w:val="0"/>
        <w:numPr>
          <w:ilvl w:val="0"/>
          <w:numId w:val="46"/>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val="0"/>
        <w:numPr>
          <w:ilvl w:val="0"/>
          <w:numId w:val="47"/>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查阅设计文件和运行记录；</w:t>
      </w:r>
    </w:p>
    <w:p>
      <w:pPr>
        <w:widowControl w:val="0"/>
        <w:numPr>
          <w:ilvl w:val="0"/>
          <w:numId w:val="47"/>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现场核查设备安装情况，核查甲醛、总挥发性有机物、PM2.5等污染物</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的监测功能是否满足要求，核查并现场模拟验证联动控制、超标报警等</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控制功能。</w:t>
      </w:r>
    </w:p>
    <w:p>
      <w:pPr>
        <w:widowControl w:val="0"/>
        <w:numPr>
          <w:ilvl w:val="0"/>
          <w:numId w:val="46"/>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检验成果：室内空气质量监控功能检验报告。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5.4.5</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地下车库CO超标联动排风的检验应符合下列规定：</w:t>
      </w:r>
    </w:p>
    <w:p>
      <w:pPr>
        <w:widowControl w:val="0"/>
        <w:numPr>
          <w:ilvl w:val="0"/>
          <w:numId w:val="48"/>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检验内容：CO监测、系统软件控制功能。</w:t>
      </w:r>
    </w:p>
    <w:p>
      <w:pPr>
        <w:widowControl w:val="0"/>
        <w:numPr>
          <w:ilvl w:val="0"/>
          <w:numId w:val="48"/>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val="0"/>
        <w:numPr>
          <w:ilvl w:val="0"/>
          <w:numId w:val="49"/>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在监控平台或设备控制器上改变输入参数值，验证排风设备的联动及报</w:t>
      </w:r>
    </w:p>
    <w:p>
      <w:pPr>
        <w:widowControl w:val="0"/>
        <w:numPr>
          <w:ilvl w:val="-1"/>
          <w:numId w:val="0"/>
        </w:numPr>
        <w:adjustRightInd w:val="0"/>
        <w:spacing w:line="360" w:lineRule="auto"/>
        <w:ind w:left="0" w:firstLine="720" w:firstLineChars="30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警功能；</w:t>
      </w:r>
    </w:p>
    <w:p>
      <w:pPr>
        <w:widowControl w:val="0"/>
        <w:numPr>
          <w:ilvl w:val="0"/>
          <w:numId w:val="49"/>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CO传感器按总数的20%抽检，数量不应少于5个，不足5个的全部检</w:t>
      </w:r>
      <w:r>
        <w:rPr>
          <w:rFonts w:hint="eastAsia" w:cs="Times New Roman"/>
          <w:bCs/>
          <w:kern w:val="2"/>
          <w:sz w:val="24"/>
          <w:szCs w:val="24"/>
          <w:lang w:val="en-US" w:eastAsia="zh-CN" w:bidi="ar-SA"/>
        </w:rPr>
        <w:t xml:space="preserve"> </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验。</w:t>
      </w:r>
    </w:p>
    <w:p>
      <w:pPr>
        <w:widowControl w:val="0"/>
        <w:numPr>
          <w:ilvl w:val="0"/>
          <w:numId w:val="48"/>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检验成果：地下车库CO超标联动排风检验报告。</w:t>
      </w:r>
    </w:p>
    <w:p>
      <w:pPr>
        <w:widowControl w:val="0"/>
        <w:numPr>
          <w:ilvl w:val="1"/>
          <w:numId w:val="0"/>
        </w:numPr>
        <w:spacing w:before="312" w:beforeLines="100" w:after="0" w:line="360" w:lineRule="auto"/>
        <w:ind w:left="567" w:leftChars="0" w:hanging="567" w:firstLineChars="0"/>
        <w:jc w:val="center"/>
        <w:outlineLvl w:val="1"/>
        <w:rPr>
          <w:rFonts w:ascii="Times New Roman" w:hAnsi="Times New Roman" w:eastAsia="黑体" w:cs="Times New Roman"/>
          <w:b/>
          <w:bCs/>
          <w:kern w:val="28"/>
          <w:sz w:val="24"/>
          <w:szCs w:val="32"/>
          <w:lang w:val="zh-CN" w:eastAsia="zh-CN" w:bidi="ar-SA"/>
        </w:rPr>
      </w:pPr>
      <w:bookmarkStart w:id="52" w:name="_Toc204157422"/>
      <w:r>
        <w:rPr>
          <w:rFonts w:hint="default" w:ascii="Times New Roman" w:hAnsi="Times New Roman" w:eastAsia="黑体" w:cs="Times New Roman"/>
          <w:b/>
          <w:bCs/>
          <w:kern w:val="28"/>
          <w:sz w:val="24"/>
          <w:szCs w:val="32"/>
          <w:lang w:val="zh-CN" w:eastAsia="zh-CN" w:bidi="ar-SA"/>
        </w:rPr>
        <w:t>5.5</w:t>
      </w:r>
      <w:r>
        <w:rPr>
          <w:rFonts w:ascii="Times New Roman" w:hAnsi="Times New Roman" w:eastAsia="黑体" w:cs="Times New Roman"/>
          <w:b/>
          <w:bCs/>
          <w:kern w:val="28"/>
          <w:sz w:val="24"/>
          <w:szCs w:val="32"/>
          <w:lang w:val="zh-CN" w:eastAsia="zh-CN" w:bidi="ar-SA"/>
        </w:rPr>
        <w:t>水质</w:t>
      </w:r>
      <w:bookmarkEnd w:id="52"/>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5.5.1</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水质检验采样工作应符合现行国家环境保护标准《水质 采样技术指导》HJ 494和《水质 采样方案设计技术规定》HJ 495的规定。</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5.5.2</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景观环境用非传统水源供水水质的检验应符合下列规定：</w:t>
      </w:r>
    </w:p>
    <w:p>
      <w:pPr>
        <w:widowControl w:val="0"/>
        <w:numPr>
          <w:ilvl w:val="0"/>
          <w:numId w:val="50"/>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检验内容：景观环境用非传统水源供水水质。</w:t>
      </w:r>
    </w:p>
    <w:p>
      <w:pPr>
        <w:widowControl w:val="0"/>
        <w:numPr>
          <w:ilvl w:val="0"/>
          <w:numId w:val="50"/>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val="0"/>
        <w:numPr>
          <w:ilvl w:val="0"/>
          <w:numId w:val="51"/>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水质取样点应设在景观环境用非传统水源供水总出水口；</w:t>
      </w:r>
    </w:p>
    <w:p>
      <w:pPr>
        <w:widowControl w:val="0"/>
        <w:numPr>
          <w:ilvl w:val="0"/>
          <w:numId w:val="51"/>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 xml:space="preserve">水质应符合现行国家标准《城市污水再生利用 景观环境用水水质》GB/T </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18921的规定。</w:t>
      </w:r>
    </w:p>
    <w:p>
      <w:pPr>
        <w:widowControl w:val="0"/>
        <w:numPr>
          <w:ilvl w:val="0"/>
          <w:numId w:val="50"/>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检验成果：景观环境用非传统水源供水水质检验报告。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5.5.3</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城市杂用水非传统水源供水水质的检验应符合下列规定：</w:t>
      </w:r>
    </w:p>
    <w:p>
      <w:pPr>
        <w:widowControl w:val="0"/>
        <w:numPr>
          <w:ilvl w:val="0"/>
          <w:numId w:val="52"/>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检验内容：城市杂用水非传统水源供水水质。</w:t>
      </w:r>
    </w:p>
    <w:p>
      <w:pPr>
        <w:widowControl w:val="0"/>
        <w:numPr>
          <w:ilvl w:val="0"/>
          <w:numId w:val="52"/>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val="0"/>
        <w:numPr>
          <w:ilvl w:val="0"/>
          <w:numId w:val="53"/>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水质取样点应设在城市杂用水非传统水源供水总出水口；</w:t>
      </w:r>
    </w:p>
    <w:p>
      <w:pPr>
        <w:widowControl w:val="0"/>
        <w:numPr>
          <w:ilvl w:val="0"/>
          <w:numId w:val="53"/>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 xml:space="preserve">水质应符合现行国家标准《城市污水再生利用 城市杂用水水质》GB/T </w:t>
      </w:r>
      <w:r>
        <w:rPr>
          <w:rFonts w:hint="eastAsia" w:cs="Times New Roman"/>
          <w:bCs/>
          <w:kern w:val="2"/>
          <w:sz w:val="24"/>
          <w:szCs w:val="24"/>
          <w:lang w:val="en-US" w:eastAsia="zh-CN" w:bidi="ar-SA"/>
        </w:rPr>
        <w:t xml:space="preserve"> </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18920的规定。</w:t>
      </w:r>
    </w:p>
    <w:p>
      <w:pPr>
        <w:widowControl w:val="0"/>
        <w:numPr>
          <w:ilvl w:val="0"/>
          <w:numId w:val="52"/>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检验成果：城市杂用水非传统水源供水水质检验报告。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1"/>
          <w:szCs w:val="21"/>
          <w:lang w:val="zh-CN" w:eastAsia="zh-CN" w:bidi="ar-SA"/>
        </w:rPr>
      </w:pPr>
      <w:r>
        <w:rPr>
          <w:rFonts w:hint="default" w:ascii="Times New Roman" w:hAnsi="Times New Roman" w:eastAsia="宋体" w:cs="Times New Roman"/>
          <w:b/>
          <w:bCs/>
          <w:color w:val="auto"/>
          <w:kern w:val="28"/>
          <w:sz w:val="24"/>
          <w:szCs w:val="24"/>
          <w:lang w:val="zh-CN" w:eastAsia="zh-CN" w:bidi="ar-SA"/>
        </w:rPr>
        <w:t>5.5.4</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冷却塔非传统水源补水水质的检验应符合下列规定：</w:t>
      </w:r>
    </w:p>
    <w:p>
      <w:pPr>
        <w:widowControl w:val="0"/>
        <w:numPr>
          <w:ilvl w:val="0"/>
          <w:numId w:val="54"/>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检验内容：冷却塔非传统水源补水水质。</w:t>
      </w:r>
    </w:p>
    <w:p>
      <w:pPr>
        <w:widowControl w:val="0"/>
        <w:numPr>
          <w:ilvl w:val="0"/>
          <w:numId w:val="54"/>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val="0"/>
        <w:numPr>
          <w:ilvl w:val="0"/>
          <w:numId w:val="55"/>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水质取样点应设在冷却补水总出水口；</w:t>
      </w:r>
    </w:p>
    <w:p>
      <w:pPr>
        <w:widowControl w:val="0"/>
        <w:numPr>
          <w:ilvl w:val="0"/>
          <w:numId w:val="55"/>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水质应符合现行国家标准《采暖空调水质标准》GB/T 29044的规定。</w:t>
      </w:r>
    </w:p>
    <w:p>
      <w:pPr>
        <w:widowControl w:val="0"/>
        <w:numPr>
          <w:ilvl w:val="0"/>
          <w:numId w:val="54"/>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检验成果：冷却塔非传统水源补水水质检验报告。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5.5.5</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自建污水处理设施出水水质的检验应符合下列规定：</w:t>
      </w:r>
    </w:p>
    <w:p>
      <w:pPr>
        <w:widowControl w:val="0"/>
        <w:numPr>
          <w:ilvl w:val="0"/>
          <w:numId w:val="56"/>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检验内容：自建污水处理设施出水水质。</w:t>
      </w:r>
    </w:p>
    <w:p>
      <w:pPr>
        <w:widowControl w:val="0"/>
        <w:numPr>
          <w:ilvl w:val="0"/>
          <w:numId w:val="56"/>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val="0"/>
        <w:numPr>
          <w:ilvl w:val="0"/>
          <w:numId w:val="57"/>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水质取样点应设在自建污水处理设施后；</w:t>
      </w:r>
    </w:p>
    <w:p>
      <w:pPr>
        <w:widowControl w:val="0"/>
        <w:numPr>
          <w:ilvl w:val="0"/>
          <w:numId w:val="57"/>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应符合现行行业标准《污水排入城镇下水道水质标准》CJ 343和现行国</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家标准《污水综合排放标准》GB 8978的规定；</w:t>
      </w:r>
    </w:p>
    <w:p>
      <w:pPr>
        <w:widowControl w:val="0"/>
        <w:numPr>
          <w:ilvl w:val="0"/>
          <w:numId w:val="57"/>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对于含有放射性物质的水质检验，还应符合现行国家标准《辐射防护规</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定》GB 8703的规定。</w:t>
      </w:r>
    </w:p>
    <w:p>
      <w:pPr>
        <w:widowControl w:val="0"/>
        <w:numPr>
          <w:ilvl w:val="0"/>
          <w:numId w:val="56"/>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检验成果：自建污水处理设施出水水质检验报告。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5.5.6</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生活污水排放水质的检验应符合下列规定：</w:t>
      </w:r>
    </w:p>
    <w:p>
      <w:pPr>
        <w:widowControl w:val="0"/>
        <w:numPr>
          <w:ilvl w:val="0"/>
          <w:numId w:val="58"/>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检验内容：生活污水排放水质。</w:t>
      </w:r>
    </w:p>
    <w:p>
      <w:pPr>
        <w:widowControl w:val="0"/>
        <w:numPr>
          <w:ilvl w:val="0"/>
          <w:numId w:val="58"/>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val="0"/>
        <w:numPr>
          <w:ilvl w:val="0"/>
          <w:numId w:val="59"/>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水质取样点应设在排入市政管道前最近的污水检查井；</w:t>
      </w:r>
    </w:p>
    <w:p>
      <w:pPr>
        <w:widowControl w:val="0"/>
        <w:numPr>
          <w:ilvl w:val="0"/>
          <w:numId w:val="59"/>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应符合现行行业标准《污水排入城镇下水道水质标准》CJ 343和现行国</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家标准《污水综合排放标准》GB 8978的规定。</w:t>
      </w:r>
    </w:p>
    <w:p>
      <w:pPr>
        <w:widowControl w:val="0"/>
        <w:numPr>
          <w:ilvl w:val="0"/>
          <w:numId w:val="58"/>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检验成果：生活污水排放水质检验报告。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5.5.7</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生活饮用水、直饮水、集中生活热水、游泳池水、采暖空调系统用水和景观水体等水质的检验应符合下列规定：</w:t>
      </w:r>
    </w:p>
    <w:p>
      <w:pPr>
        <w:widowControl w:val="0"/>
        <w:numPr>
          <w:ilvl w:val="0"/>
          <w:numId w:val="60"/>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检验内容：生活饮用水、直饮水、集中生活热水、游泳池水、采暖空调系统用水和景观水体等水质。</w:t>
      </w:r>
    </w:p>
    <w:p>
      <w:pPr>
        <w:widowControl w:val="0"/>
        <w:numPr>
          <w:ilvl w:val="0"/>
          <w:numId w:val="60"/>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val="0"/>
        <w:numPr>
          <w:ilvl w:val="0"/>
          <w:numId w:val="61"/>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查阅竣工图设计说明、各类用水的水质检测报告；</w:t>
      </w:r>
    </w:p>
    <w:p>
      <w:pPr>
        <w:widowControl w:val="0"/>
        <w:numPr>
          <w:ilvl w:val="0"/>
          <w:numId w:val="61"/>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检验结果应满足设计要求或现行相关标准的要求。</w:t>
      </w:r>
    </w:p>
    <w:p>
      <w:pPr>
        <w:widowControl w:val="0"/>
        <w:numPr>
          <w:ilvl w:val="0"/>
          <w:numId w:val="60"/>
        </w:numPr>
        <w:spacing w:before="0" w:after="0" w:line="360" w:lineRule="auto"/>
        <w:ind w:left="0" w:firstLine="480" w:firstLineChars="200"/>
        <w:jc w:val="both"/>
        <w:outlineLvl w:val="9"/>
        <w:rPr>
          <w:rFonts w:ascii="Cambria" w:hAnsi="Cambria" w:eastAsia="黑体" w:cs="Times New Roman"/>
          <w:b/>
          <w:bCs w:val="0"/>
          <w:kern w:val="28"/>
          <w:sz w:val="20"/>
          <w:szCs w:val="32"/>
          <w:lang w:val="zh-CN" w:eastAsia="zh-CN" w:bidi="ar-SA"/>
        </w:rPr>
      </w:pPr>
      <w:r>
        <w:rPr>
          <w:rFonts w:ascii="Times New Roman" w:hAnsi="Times New Roman" w:eastAsia="宋体" w:cs="Times New Roman"/>
          <w:b w:val="0"/>
          <w:bCs/>
          <w:kern w:val="28"/>
          <w:sz w:val="24"/>
          <w:szCs w:val="32"/>
          <w:lang w:val="zh-CN" w:eastAsia="zh-CN" w:bidi="ar-SA"/>
        </w:rPr>
        <w:t>检验成果：生活饮用水、直饮水、集中生活热水、游泳池水、采暖空调系统用水和景观水体等水质检验报告。</w:t>
      </w:r>
    </w:p>
    <w:p>
      <w:pPr>
        <w:spacing w:line="360" w:lineRule="auto"/>
        <w:outlineLvl w:val="9"/>
        <w:rPr>
          <w:bCs/>
        </w:rPr>
        <w:sectPr>
          <w:pgSz w:w="11906" w:h="16838"/>
          <w:pgMar w:top="1440" w:right="1800" w:bottom="1440" w:left="1800" w:header="851" w:footer="992" w:gutter="0"/>
          <w:pgNumType w:fmt="decimal"/>
          <w:cols w:space="720" w:num="1"/>
          <w:docGrid w:type="lines" w:linePitch="312" w:charSpace="0"/>
        </w:sectPr>
      </w:pPr>
    </w:p>
    <w:p>
      <w:pPr>
        <w:keepNext/>
        <w:keepLines/>
        <w:widowControl w:val="0"/>
        <w:numPr>
          <w:ilvl w:val="0"/>
          <w:numId w:val="0"/>
        </w:numPr>
        <w:spacing w:before="340" w:after="330" w:line="578" w:lineRule="auto"/>
        <w:ind w:left="425" w:leftChars="0" w:hanging="425" w:firstLineChars="0"/>
        <w:jc w:val="center"/>
        <w:outlineLvl w:val="0"/>
        <w:rPr>
          <w:rFonts w:ascii="Times New Roman" w:hAnsi="Times New Roman" w:eastAsia="宋体" w:cs="Times New Roman"/>
          <w:b/>
          <w:bCs/>
          <w:kern w:val="44"/>
          <w:sz w:val="28"/>
          <w:szCs w:val="28"/>
          <w:lang w:val="en-US" w:eastAsia="zh-CN" w:bidi="ar-SA"/>
        </w:rPr>
      </w:pPr>
      <w:bookmarkStart w:id="53" w:name="_Toc204157423"/>
      <w:r>
        <w:rPr>
          <w:rFonts w:hint="eastAsia" w:ascii="Times New Roman" w:hAnsi="Times New Roman" w:eastAsia="宋体" w:cs="Times New Roman"/>
          <w:b/>
          <w:bCs/>
          <w:kern w:val="44"/>
          <w:sz w:val="28"/>
          <w:szCs w:val="28"/>
          <w:lang w:val="en-US" w:eastAsia="zh-CN" w:bidi="ar-SA"/>
        </w:rPr>
        <w:t>6</w:t>
      </w:r>
      <w:r>
        <w:rPr>
          <w:rFonts w:ascii="Times New Roman" w:hAnsi="Times New Roman" w:eastAsia="宋体" w:cs="Times New Roman"/>
          <w:b/>
          <w:bCs/>
          <w:kern w:val="44"/>
          <w:sz w:val="28"/>
          <w:szCs w:val="28"/>
          <w:lang w:val="en-US" w:eastAsia="zh-CN" w:bidi="ar-SA"/>
        </w:rPr>
        <w:t>生活便利</w:t>
      </w:r>
      <w:bookmarkEnd w:id="53"/>
    </w:p>
    <w:p>
      <w:pPr>
        <w:widowControl w:val="0"/>
        <w:numPr>
          <w:ilvl w:val="1"/>
          <w:numId w:val="0"/>
        </w:numPr>
        <w:spacing w:before="312" w:beforeLines="100" w:after="0" w:line="360" w:lineRule="auto"/>
        <w:ind w:left="567" w:leftChars="0" w:hanging="567" w:firstLineChars="0"/>
        <w:jc w:val="center"/>
        <w:outlineLvl w:val="1"/>
        <w:rPr>
          <w:rFonts w:ascii="Times New Roman" w:hAnsi="Times New Roman" w:eastAsia="黑体" w:cs="Times New Roman"/>
          <w:b/>
          <w:bCs/>
          <w:kern w:val="28"/>
          <w:sz w:val="24"/>
          <w:szCs w:val="32"/>
          <w:lang w:val="zh-CN" w:eastAsia="zh-CN" w:bidi="ar-SA"/>
        </w:rPr>
      </w:pPr>
      <w:bookmarkStart w:id="54" w:name="_Toc204157424"/>
      <w:r>
        <w:rPr>
          <w:rFonts w:hint="default" w:ascii="Times New Roman" w:hAnsi="Times New Roman" w:eastAsia="黑体" w:cs="Times New Roman"/>
          <w:b/>
          <w:bCs/>
          <w:kern w:val="28"/>
          <w:sz w:val="24"/>
          <w:szCs w:val="32"/>
          <w:lang w:val="zh-CN" w:eastAsia="zh-CN" w:bidi="ar-SA"/>
        </w:rPr>
        <w:t>6.1</w:t>
      </w:r>
      <w:r>
        <w:rPr>
          <w:rFonts w:ascii="Times New Roman" w:hAnsi="Times New Roman" w:eastAsia="黑体" w:cs="Times New Roman"/>
          <w:b/>
          <w:bCs/>
          <w:kern w:val="28"/>
          <w:sz w:val="24"/>
          <w:szCs w:val="32"/>
          <w:lang w:val="zh-CN" w:eastAsia="zh-CN" w:bidi="ar-SA"/>
        </w:rPr>
        <w:t>出行与无障碍</w:t>
      </w:r>
      <w:bookmarkEnd w:id="54"/>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6.1.1</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场地与公共交通站点的便捷联系的检验应符合下列规定：</w:t>
      </w:r>
    </w:p>
    <w:p>
      <w:pPr>
        <w:widowControl w:val="0"/>
        <w:numPr>
          <w:ilvl w:val="0"/>
          <w:numId w:val="62"/>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检验内容：场地周边公共交通设施的布局。</w:t>
      </w:r>
    </w:p>
    <w:p>
      <w:pPr>
        <w:widowControl w:val="0"/>
        <w:numPr>
          <w:ilvl w:val="0"/>
          <w:numId w:val="62"/>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val="0"/>
        <w:numPr>
          <w:ilvl w:val="0"/>
          <w:numId w:val="63"/>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查阅项目总平面竣工图等相关资料；</w:t>
      </w:r>
    </w:p>
    <w:p>
      <w:pPr>
        <w:widowControl w:val="0"/>
        <w:numPr>
          <w:ilvl w:val="0"/>
          <w:numId w:val="63"/>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现场核查场地周边公共交通设施布局示意图的符合性，场地出入口到达</w:t>
      </w:r>
      <w:r>
        <w:rPr>
          <w:rFonts w:hint="eastAsia" w:cs="Times New Roman"/>
          <w:bCs/>
          <w:kern w:val="2"/>
          <w:sz w:val="24"/>
          <w:szCs w:val="24"/>
          <w:lang w:val="en-US" w:eastAsia="zh-CN" w:bidi="ar-SA"/>
        </w:rPr>
        <w:t xml:space="preserve"> </w:t>
      </w:r>
    </w:p>
    <w:p>
      <w:pPr>
        <w:widowControl w:val="0"/>
        <w:numPr>
          <w:ilvl w:val="-1"/>
          <w:numId w:val="0"/>
        </w:numPr>
        <w:adjustRightInd w:val="0"/>
        <w:spacing w:line="360" w:lineRule="auto"/>
        <w:ind w:left="806" w:leftChars="384" w:firstLine="0" w:firstLineChars="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公共交通站点步行距离。重点核查场地人行出入口 500m 内是否设有公共交通站点或配备联系公共交通站点的专用接驳车。</w:t>
      </w:r>
    </w:p>
    <w:p>
      <w:pPr>
        <w:widowControl w:val="0"/>
        <w:numPr>
          <w:ilvl w:val="0"/>
          <w:numId w:val="62"/>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检验成果：场地与周边公共交通站点联系检验报告。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6.1.2</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建筑室内外公共区域</w:t>
      </w:r>
      <w:r>
        <w:rPr>
          <w:rFonts w:ascii="Times New Roman" w:hAnsi="Times New Roman" w:eastAsia="宋体" w:cs="Times New Roman"/>
          <w:b w:val="0"/>
          <w:bCs/>
          <w:kern w:val="28"/>
          <w:sz w:val="24"/>
          <w:szCs w:val="32"/>
          <w:lang w:val="zh-CN" w:eastAsia="zh" w:bidi="ar-SA"/>
        </w:rPr>
        <w:t>的</w:t>
      </w:r>
      <w:r>
        <w:rPr>
          <w:rFonts w:ascii="Times New Roman" w:hAnsi="Times New Roman" w:eastAsia="宋体" w:cs="Times New Roman"/>
          <w:b w:val="0"/>
          <w:bCs/>
          <w:kern w:val="28"/>
          <w:sz w:val="24"/>
          <w:szCs w:val="32"/>
          <w:lang w:val="zh-CN" w:eastAsia="zh-CN" w:bidi="ar-SA"/>
        </w:rPr>
        <w:t>全龄化设计</w:t>
      </w:r>
      <w:r>
        <w:rPr>
          <w:rFonts w:ascii="Times New Roman" w:hAnsi="Times New Roman" w:eastAsia="宋体" w:cs="Times New Roman"/>
          <w:b w:val="0"/>
          <w:bCs/>
          <w:kern w:val="28"/>
          <w:sz w:val="24"/>
          <w:szCs w:val="32"/>
          <w:lang w:val="zh-CN" w:eastAsia="zh" w:bidi="ar-SA"/>
        </w:rPr>
        <w:t>的检验应符合下列规定</w:t>
      </w:r>
      <w:r>
        <w:rPr>
          <w:rFonts w:ascii="Times New Roman" w:hAnsi="Times New Roman" w:eastAsia="宋体" w:cs="Times New Roman"/>
          <w:b w:val="0"/>
          <w:bCs/>
          <w:kern w:val="28"/>
          <w:sz w:val="24"/>
          <w:szCs w:val="32"/>
          <w:lang w:val="zh-CN" w:eastAsia="zh-CN" w:bidi="ar-SA"/>
        </w:rPr>
        <w:t>：</w:t>
      </w:r>
    </w:p>
    <w:p>
      <w:pPr>
        <w:widowControl w:val="0"/>
        <w:numPr>
          <w:ilvl w:val="0"/>
          <w:numId w:val="64"/>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检验内容：建筑室内外公共区域全龄化设计。</w:t>
      </w:r>
    </w:p>
    <w:p>
      <w:pPr>
        <w:widowControl w:val="0"/>
        <w:numPr>
          <w:ilvl w:val="0"/>
          <w:numId w:val="64"/>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val="0"/>
        <w:numPr>
          <w:ilvl w:val="0"/>
          <w:numId w:val="65"/>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查阅项目竣工图（含景观、装修）、无障碍设计专篇、现场照片等相关</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资料；</w:t>
      </w:r>
    </w:p>
    <w:p>
      <w:pPr>
        <w:widowControl w:val="0"/>
        <w:numPr>
          <w:ilvl w:val="0"/>
          <w:numId w:val="65"/>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现场核查建筑室内外公共区域全龄化设施（含无障碍设施）的符合性；</w:t>
      </w:r>
    </w:p>
    <w:p>
      <w:pPr>
        <w:widowControl w:val="0"/>
        <w:numPr>
          <w:ilvl w:val="0"/>
          <w:numId w:val="65"/>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建筑、室外场地、公共绿地、城市道路相互之间应设置连贯的无障碍步</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行系统。</w:t>
      </w:r>
    </w:p>
    <w:p>
      <w:pPr>
        <w:widowControl w:val="0"/>
        <w:numPr>
          <w:ilvl w:val="0"/>
          <w:numId w:val="64"/>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检验成果：建筑室内外公共区域全龄化设施</w:t>
      </w:r>
      <w:r>
        <w:rPr>
          <w:rFonts w:ascii="Times New Roman" w:hAnsi="Times New Roman" w:eastAsia="宋体" w:cs="Times New Roman"/>
          <w:b w:val="0"/>
          <w:bCs/>
          <w:kern w:val="28"/>
          <w:sz w:val="24"/>
          <w:szCs w:val="32"/>
          <w:lang w:val="zh-CN" w:eastAsia="zh" w:bidi="ar-SA"/>
        </w:rPr>
        <w:t>（含无障碍设施）</w:t>
      </w:r>
      <w:r>
        <w:rPr>
          <w:rFonts w:ascii="Times New Roman" w:hAnsi="Times New Roman" w:eastAsia="宋体" w:cs="Times New Roman"/>
          <w:b w:val="0"/>
          <w:bCs/>
          <w:kern w:val="28"/>
          <w:sz w:val="24"/>
          <w:szCs w:val="32"/>
          <w:lang w:val="zh-CN" w:eastAsia="zh-CN" w:bidi="ar-SA"/>
        </w:rPr>
        <w:t>检验报告。</w:t>
      </w:r>
    </w:p>
    <w:p>
      <w:pPr>
        <w:widowControl w:val="0"/>
        <w:numPr>
          <w:ilvl w:val="1"/>
          <w:numId w:val="0"/>
        </w:numPr>
        <w:spacing w:before="312" w:beforeLines="100" w:after="0" w:line="360" w:lineRule="auto"/>
        <w:ind w:left="567" w:leftChars="0" w:hanging="567" w:firstLineChars="0"/>
        <w:jc w:val="center"/>
        <w:outlineLvl w:val="1"/>
        <w:rPr>
          <w:rFonts w:ascii="Times New Roman" w:hAnsi="Times New Roman" w:eastAsia="黑体" w:cs="Times New Roman"/>
          <w:b/>
          <w:bCs/>
          <w:kern w:val="28"/>
          <w:sz w:val="24"/>
          <w:szCs w:val="32"/>
          <w:lang w:val="zh-CN" w:eastAsia="zh-CN" w:bidi="ar-SA"/>
        </w:rPr>
      </w:pPr>
      <w:bookmarkStart w:id="55" w:name="_Toc204157425"/>
      <w:r>
        <w:rPr>
          <w:rFonts w:hint="default" w:ascii="Times New Roman" w:hAnsi="Times New Roman" w:eastAsia="黑体" w:cs="Times New Roman"/>
          <w:b/>
          <w:bCs/>
          <w:kern w:val="28"/>
          <w:sz w:val="24"/>
          <w:szCs w:val="32"/>
          <w:lang w:val="zh-CN" w:eastAsia="zh-CN" w:bidi="ar-SA"/>
        </w:rPr>
        <w:t>6.2</w:t>
      </w:r>
      <w:r>
        <w:rPr>
          <w:rFonts w:ascii="Times New Roman" w:hAnsi="Times New Roman" w:eastAsia="黑体" w:cs="Times New Roman"/>
          <w:b/>
          <w:bCs/>
          <w:kern w:val="28"/>
          <w:sz w:val="24"/>
          <w:szCs w:val="32"/>
          <w:lang w:val="zh-CN" w:eastAsia="zh-CN" w:bidi="ar-SA"/>
        </w:rPr>
        <w:t>服务设施</w:t>
      </w:r>
      <w:bookmarkEnd w:id="55"/>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6.2.1</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 w:bidi="ar-SA"/>
        </w:rPr>
        <w:t>场地内部及周边</w:t>
      </w:r>
      <w:r>
        <w:rPr>
          <w:rFonts w:ascii="Times New Roman" w:hAnsi="Times New Roman" w:eastAsia="宋体" w:cs="Times New Roman"/>
          <w:b w:val="0"/>
          <w:bCs/>
          <w:kern w:val="28"/>
          <w:sz w:val="24"/>
          <w:szCs w:val="32"/>
          <w:lang w:val="zh-CN" w:eastAsia="zh-CN" w:bidi="ar-SA"/>
        </w:rPr>
        <w:t>公共服务</w:t>
      </w:r>
      <w:r>
        <w:rPr>
          <w:rFonts w:ascii="Times New Roman" w:hAnsi="Times New Roman" w:eastAsia="宋体" w:cs="Times New Roman"/>
          <w:b w:val="0"/>
          <w:bCs/>
          <w:kern w:val="28"/>
          <w:sz w:val="24"/>
          <w:szCs w:val="32"/>
          <w:lang w:val="zh-CN" w:eastAsia="zh" w:bidi="ar-SA"/>
        </w:rPr>
        <w:t>共享的检验应符合</w:t>
      </w:r>
      <w:r>
        <w:rPr>
          <w:rFonts w:ascii="Times New Roman" w:hAnsi="Times New Roman" w:eastAsia="宋体" w:cs="Times New Roman"/>
          <w:b w:val="0"/>
          <w:bCs/>
          <w:kern w:val="28"/>
          <w:sz w:val="24"/>
          <w:szCs w:val="32"/>
          <w:lang w:val="zh-CN" w:eastAsia="zh-CN" w:bidi="ar-SA"/>
        </w:rPr>
        <w:t>下列规定：</w:t>
      </w:r>
    </w:p>
    <w:p>
      <w:pPr>
        <w:widowControl w:val="0"/>
        <w:numPr>
          <w:ilvl w:val="0"/>
          <w:numId w:val="66"/>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检验内容：场地内部及周边公共服务共享情况。</w:t>
      </w:r>
    </w:p>
    <w:p>
      <w:pPr>
        <w:widowControl w:val="0"/>
        <w:numPr>
          <w:ilvl w:val="0"/>
          <w:numId w:val="66"/>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val="0"/>
        <w:numPr>
          <w:ilvl w:val="0"/>
          <w:numId w:val="67"/>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查阅项目竣工图、公共服务共享说明、机动车停车位配建等相关资料；</w:t>
      </w:r>
    </w:p>
    <w:p>
      <w:pPr>
        <w:widowControl w:val="0"/>
        <w:numPr>
          <w:ilvl w:val="0"/>
          <w:numId w:val="67"/>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结合建筑类型，现场核查场地内部及周边公共服务共享设施的符合性，</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以及面向社会开放功能（空间）的管理办法；</w:t>
      </w:r>
    </w:p>
    <w:p>
      <w:pPr>
        <w:widowControl w:val="0"/>
        <w:numPr>
          <w:ilvl w:val="0"/>
          <w:numId w:val="67"/>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现场核查场地内新能源汽车停车位（含无障碍停车位）和非机动车的布</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局、机动车充电设施及预留充电设施的安全条件与竣工图的符合性；</w:t>
      </w:r>
    </w:p>
    <w:p>
      <w:pPr>
        <w:widowControl w:val="0"/>
        <w:numPr>
          <w:ilvl w:val="0"/>
          <w:numId w:val="67"/>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了解场地内新能源汽车停车位的管理模式，查阅充电桩安全管理制度、</w:t>
      </w:r>
    </w:p>
    <w:p>
      <w:pPr>
        <w:widowControl w:val="0"/>
        <w:numPr>
          <w:ilvl w:val="-1"/>
          <w:numId w:val="0"/>
        </w:numPr>
        <w:adjustRightInd w:val="0"/>
        <w:spacing w:line="360" w:lineRule="auto"/>
        <w:ind w:left="567" w:firstLine="240" w:firstLineChars="100"/>
        <w:jc w:val="both"/>
        <w:outlineLvl w:val="9"/>
        <w:rPr>
          <w:rFonts w:hint="eastAsia"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巡查维护记录、灭火设施的配置、公示的安全提示及救援电话等内容</w:t>
      </w:r>
      <w:r>
        <w:rPr>
          <w:rFonts w:hint="eastAsia" w:cs="Times New Roman"/>
          <w:bCs/>
          <w:kern w:val="2"/>
          <w:sz w:val="24"/>
          <w:szCs w:val="24"/>
          <w:lang w:val="en-US" w:eastAsia="zh-CN" w:bidi="ar-SA"/>
        </w:rPr>
        <w:t>；</w:t>
      </w:r>
    </w:p>
    <w:p>
      <w:pPr>
        <w:widowControl w:val="0"/>
        <w:numPr>
          <w:ilvl w:val="0"/>
          <w:numId w:val="67"/>
        </w:numPr>
        <w:adjustRightInd w:val="0"/>
        <w:spacing w:line="360" w:lineRule="auto"/>
        <w:ind w:left="0" w:firstLine="567" w:firstLineChars="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核验充电设施安装数量</w:t>
      </w:r>
      <w:r>
        <w:rPr>
          <w:rFonts w:hint="eastAsia" w:cs="Times New Roman"/>
          <w:bCs/>
          <w:kern w:val="2"/>
          <w:sz w:val="24"/>
          <w:szCs w:val="24"/>
          <w:lang w:val="en-US" w:eastAsia="zh-CN" w:bidi="ar-SA"/>
        </w:rPr>
        <w:t>应</w:t>
      </w:r>
      <w:r>
        <w:rPr>
          <w:rFonts w:ascii="Times New Roman" w:hAnsi="Times New Roman" w:eastAsia="宋体" w:cs="Times New Roman"/>
          <w:bCs/>
          <w:kern w:val="2"/>
          <w:sz w:val="24"/>
          <w:szCs w:val="24"/>
          <w:lang w:val="en-US" w:eastAsia="zh-CN" w:bidi="ar-SA"/>
        </w:rPr>
        <w:t>满足</w:t>
      </w:r>
      <w:r>
        <w:rPr>
          <w:rFonts w:hint="eastAsia" w:cs="Times New Roman"/>
          <w:bCs/>
          <w:kern w:val="2"/>
          <w:sz w:val="24"/>
          <w:szCs w:val="24"/>
          <w:lang w:val="en-US" w:eastAsia="zh-CN" w:bidi="ar-SA"/>
        </w:rPr>
        <w:t>：</w:t>
      </w:r>
      <w:r>
        <w:rPr>
          <w:rFonts w:ascii="Times New Roman" w:hAnsi="Times New Roman" w:eastAsia="宋体" w:cs="Times New Roman"/>
          <w:bCs/>
          <w:kern w:val="2"/>
          <w:sz w:val="24"/>
          <w:szCs w:val="24"/>
          <w:lang w:val="en-US" w:eastAsia="zh-CN" w:bidi="ar-SA"/>
        </w:rPr>
        <w:t>停车场有效停车位数量</w:t>
      </w:r>
      <w:r>
        <w:rPr>
          <w:rFonts w:hint="eastAsia" w:cs="Times New Roman"/>
          <w:bCs/>
          <w:kern w:val="2"/>
          <w:sz w:val="24"/>
          <w:szCs w:val="24"/>
          <w:lang w:val="en-US" w:eastAsia="zh-CN" w:bidi="ar-SA"/>
        </w:rPr>
        <w:t>不少于</w:t>
      </w:r>
      <w:r>
        <w:rPr>
          <w:rFonts w:ascii="Times New Roman" w:hAnsi="Times New Roman" w:eastAsia="宋体" w:cs="Times New Roman"/>
          <w:bCs/>
          <w:kern w:val="2"/>
          <w:sz w:val="24"/>
          <w:szCs w:val="24"/>
          <w:lang w:val="en-US" w:eastAsia="zh-CN" w:bidi="ar-SA"/>
        </w:rPr>
        <w:t>10%</w:t>
      </w:r>
      <w:r>
        <w:rPr>
          <w:rFonts w:hint="default" w:cs="Times New Roman"/>
          <w:bCs/>
          <w:kern w:val="2"/>
          <w:sz w:val="24"/>
          <w:szCs w:val="24"/>
          <w:lang w:val="en-US" w:eastAsia="zh-CN" w:bidi="ar-SA"/>
        </w:rPr>
        <w:t>或</w:t>
      </w:r>
      <w:r>
        <w:rPr>
          <w:rFonts w:ascii="Times New Roman" w:hAnsi="Times New Roman" w:eastAsia="宋体" w:cs="Times New Roman"/>
          <w:bCs/>
          <w:kern w:val="2"/>
          <w:sz w:val="24"/>
          <w:szCs w:val="24"/>
          <w:lang w:val="en-US" w:eastAsia="zh-CN" w:bidi="ar-SA"/>
        </w:rPr>
        <w:t>新</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能源汽车月卡车数量</w:t>
      </w:r>
      <w:r>
        <w:rPr>
          <w:rFonts w:hint="eastAsia" w:cs="Times New Roman"/>
          <w:bCs/>
          <w:kern w:val="2"/>
          <w:sz w:val="24"/>
          <w:szCs w:val="24"/>
          <w:lang w:val="en-US" w:eastAsia="zh-CN" w:bidi="ar-SA"/>
        </w:rPr>
        <w:t>不少于</w:t>
      </w:r>
      <w:r>
        <w:rPr>
          <w:rFonts w:ascii="Times New Roman" w:hAnsi="Times New Roman" w:eastAsia="宋体" w:cs="Times New Roman"/>
          <w:bCs/>
          <w:kern w:val="2"/>
          <w:sz w:val="24"/>
          <w:szCs w:val="24"/>
          <w:lang w:val="en-US" w:eastAsia="zh-CN" w:bidi="ar-SA"/>
        </w:rPr>
        <w:t>50%。</w:t>
      </w:r>
    </w:p>
    <w:p>
      <w:pPr>
        <w:widowControl w:val="0"/>
        <w:numPr>
          <w:ilvl w:val="0"/>
          <w:numId w:val="66"/>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检验成果：场地内部及周边公共服务共享检验报告</w:t>
      </w:r>
      <w:r>
        <w:rPr>
          <w:rFonts w:ascii="Times New Roman" w:hAnsi="Times New Roman" w:eastAsia="宋体" w:cs="Times New Roman"/>
          <w:b w:val="0"/>
          <w:bCs/>
          <w:kern w:val="28"/>
          <w:sz w:val="24"/>
          <w:szCs w:val="32"/>
          <w:lang w:val="zh-CN" w:eastAsia="zh" w:bidi="ar-SA"/>
        </w:rPr>
        <w:t>（含机动车、非机动车停车设施运行检验报告）</w:t>
      </w:r>
      <w:r>
        <w:rPr>
          <w:rFonts w:ascii="Times New Roman" w:hAnsi="Times New Roman" w:eastAsia="宋体" w:cs="Times New Roman"/>
          <w:b w:val="0"/>
          <w:bCs/>
          <w:kern w:val="28"/>
          <w:sz w:val="24"/>
          <w:szCs w:val="32"/>
          <w:lang w:val="zh-CN" w:eastAsia="zh-CN" w:bidi="ar-SA"/>
        </w:rPr>
        <w:t>。</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6.2.2</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城市绿地、广场及公共运动场地等</w:t>
      </w:r>
      <w:r>
        <w:rPr>
          <w:rFonts w:hint="eastAsia" w:ascii="Times New Roman" w:hAnsi="Times New Roman" w:eastAsia="宋体" w:cs="Times New Roman"/>
          <w:b w:val="0"/>
          <w:bCs/>
          <w:kern w:val="28"/>
          <w:sz w:val="24"/>
          <w:szCs w:val="32"/>
          <w:lang w:val="zh-CN" w:eastAsia="zh-CN" w:bidi="ar-SA"/>
        </w:rPr>
        <w:t>开敞空间</w:t>
      </w:r>
      <w:r>
        <w:rPr>
          <w:rFonts w:ascii="Times New Roman" w:hAnsi="Times New Roman" w:eastAsia="宋体" w:cs="Times New Roman"/>
          <w:b w:val="0"/>
          <w:bCs/>
          <w:kern w:val="28"/>
          <w:sz w:val="24"/>
          <w:szCs w:val="32"/>
          <w:lang w:val="zh-CN" w:eastAsia="zh-CN" w:bidi="ar-SA"/>
        </w:rPr>
        <w:t>，步行可达</w:t>
      </w:r>
      <w:r>
        <w:rPr>
          <w:rFonts w:ascii="Times New Roman" w:hAnsi="Times New Roman" w:eastAsia="宋体" w:cs="Times New Roman"/>
          <w:b w:val="0"/>
          <w:bCs/>
          <w:kern w:val="28"/>
          <w:sz w:val="24"/>
          <w:szCs w:val="32"/>
          <w:lang w:val="zh-CN" w:eastAsia="zh" w:bidi="ar-SA"/>
        </w:rPr>
        <w:t>性的检验应符合</w:t>
      </w:r>
      <w:r>
        <w:rPr>
          <w:rFonts w:ascii="Times New Roman" w:hAnsi="Times New Roman" w:eastAsia="宋体" w:cs="Times New Roman"/>
          <w:b w:val="0"/>
          <w:bCs/>
          <w:kern w:val="28"/>
          <w:sz w:val="24"/>
          <w:szCs w:val="32"/>
          <w:lang w:val="zh-CN" w:eastAsia="zh-CN" w:bidi="ar-SA"/>
        </w:rPr>
        <w:t>下列规定：</w:t>
      </w:r>
    </w:p>
    <w:p>
      <w:pPr>
        <w:widowControl w:val="0"/>
        <w:numPr>
          <w:ilvl w:val="0"/>
          <w:numId w:val="68"/>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检验内容：周边城市绿地、广场及公共运动场地等开敞空间布局。</w:t>
      </w:r>
    </w:p>
    <w:p>
      <w:pPr>
        <w:widowControl w:val="0"/>
        <w:numPr>
          <w:ilvl w:val="0"/>
          <w:numId w:val="68"/>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val="0"/>
        <w:numPr>
          <w:ilvl w:val="0"/>
          <w:numId w:val="69"/>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查阅项目建筑总平面图、公共配套分析报告和现场照片等相关资料；</w:t>
      </w:r>
    </w:p>
    <w:p>
      <w:pPr>
        <w:widowControl w:val="0"/>
        <w:numPr>
          <w:ilvl w:val="0"/>
          <w:numId w:val="69"/>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现场核查公共配套分析报告的符合性。</w:t>
      </w:r>
    </w:p>
    <w:p>
      <w:pPr>
        <w:widowControl w:val="0"/>
        <w:numPr>
          <w:ilvl w:val="0"/>
          <w:numId w:val="68"/>
        </w:numPr>
        <w:spacing w:before="0" w:after="0" w:line="360" w:lineRule="auto"/>
        <w:ind w:left="0" w:firstLine="480" w:firstLineChars="200"/>
        <w:jc w:val="both"/>
        <w:outlineLvl w:val="9"/>
        <w:rPr>
          <w:rFonts w:ascii="Times New Roman" w:hAnsi="Times New Roman" w:eastAsia="黑体" w:cs="Times New Roman"/>
          <w:b/>
          <w:bCs/>
          <w:color w:val="000000"/>
          <w:kern w:val="0"/>
          <w:sz w:val="24"/>
          <w:szCs w:val="24"/>
          <w:lang w:val="zh-CN" w:eastAsia="zh-CN" w:bidi="ar-SA"/>
        </w:rPr>
      </w:pPr>
      <w:r>
        <w:rPr>
          <w:rFonts w:ascii="Times New Roman" w:hAnsi="Times New Roman" w:eastAsia="宋体" w:cs="Times New Roman"/>
          <w:b w:val="0"/>
          <w:bCs/>
          <w:kern w:val="28"/>
          <w:sz w:val="24"/>
          <w:szCs w:val="32"/>
          <w:lang w:val="zh-CN" w:eastAsia="zh-CN" w:bidi="ar-SA"/>
        </w:rPr>
        <w:t>检验成果：周边城市绿地、广场及公共运动场地等开敞空间共享检验报告。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6.2.3</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 w:bidi="ar-SA"/>
        </w:rPr>
        <w:t>场地内</w:t>
      </w:r>
      <w:r>
        <w:rPr>
          <w:rFonts w:ascii="Times New Roman" w:hAnsi="Times New Roman" w:eastAsia="宋体" w:cs="Times New Roman"/>
          <w:b w:val="0"/>
          <w:bCs/>
          <w:kern w:val="28"/>
          <w:sz w:val="24"/>
          <w:szCs w:val="32"/>
          <w:lang w:val="zh-CN" w:eastAsia="zh-CN" w:bidi="ar-SA"/>
        </w:rPr>
        <w:t>健身场地和空间</w:t>
      </w:r>
      <w:r>
        <w:rPr>
          <w:rFonts w:ascii="Times New Roman" w:hAnsi="Times New Roman" w:eastAsia="宋体" w:cs="Times New Roman"/>
          <w:b w:val="0"/>
          <w:bCs/>
          <w:kern w:val="28"/>
          <w:sz w:val="24"/>
          <w:szCs w:val="32"/>
          <w:lang w:val="zh-CN" w:eastAsia="zh" w:bidi="ar-SA"/>
        </w:rPr>
        <w:t>设置、楼梯间设置的检验应</w:t>
      </w:r>
      <w:r>
        <w:rPr>
          <w:rFonts w:ascii="Times New Roman" w:hAnsi="Times New Roman" w:eastAsia="宋体" w:cs="Times New Roman"/>
          <w:b w:val="0"/>
          <w:bCs/>
          <w:kern w:val="28"/>
          <w:sz w:val="24"/>
          <w:szCs w:val="32"/>
          <w:lang w:val="zh-CN" w:eastAsia="zh-CN" w:bidi="ar-SA"/>
        </w:rPr>
        <w:t>符合下列规定：</w:t>
      </w:r>
    </w:p>
    <w:p>
      <w:pPr>
        <w:widowControl w:val="0"/>
        <w:numPr>
          <w:ilvl w:val="0"/>
          <w:numId w:val="70"/>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检验内容：场地内健身场地和空间设置、楼梯间的设置。</w:t>
      </w:r>
    </w:p>
    <w:p>
      <w:pPr>
        <w:widowControl w:val="0"/>
        <w:numPr>
          <w:ilvl w:val="0"/>
          <w:numId w:val="70"/>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val="0"/>
        <w:numPr>
          <w:ilvl w:val="0"/>
          <w:numId w:val="71"/>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查阅建筑全套竣工图、园林景观总平面图、健身场地分析计算书和现场</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照片等相关资料；</w:t>
      </w:r>
    </w:p>
    <w:p>
      <w:pPr>
        <w:widowControl w:val="0"/>
        <w:numPr>
          <w:ilvl w:val="0"/>
          <w:numId w:val="71"/>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现场核查建筑室内外健身场地和空间设置的符合性，健身场地和设施的</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管理模式，以及健身设施的安全性及维护工作记录；</w:t>
      </w:r>
    </w:p>
    <w:p>
      <w:pPr>
        <w:widowControl w:val="0"/>
        <w:numPr>
          <w:ilvl w:val="0"/>
          <w:numId w:val="71"/>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现场核查相关楼梯间的采光、视野现状以及与主入口距离的符合性。</w:t>
      </w:r>
    </w:p>
    <w:p>
      <w:pPr>
        <w:widowControl w:val="0"/>
        <w:numPr>
          <w:ilvl w:val="0"/>
          <w:numId w:val="70"/>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检验成果：场地内健身场地和设施运行检验报告；楼梯间的设置检验报告。</w:t>
      </w:r>
    </w:p>
    <w:p>
      <w:pPr>
        <w:widowControl w:val="0"/>
        <w:numPr>
          <w:ilvl w:val="0"/>
          <w:numId w:val="0"/>
        </w:numPr>
        <w:spacing w:before="0" w:after="0" w:line="360" w:lineRule="auto"/>
        <w:ind w:leftChars="200"/>
        <w:jc w:val="both"/>
        <w:outlineLvl w:val="9"/>
        <w:rPr>
          <w:rFonts w:ascii="Times New Roman" w:hAnsi="Times New Roman" w:eastAsia="宋体" w:cs="Times New Roman"/>
          <w:b w:val="0"/>
          <w:bCs/>
          <w:kern w:val="28"/>
          <w:sz w:val="24"/>
          <w:szCs w:val="32"/>
          <w:lang w:val="zh-CN" w:eastAsia="zh-CN" w:bidi="ar-SA"/>
        </w:rPr>
      </w:pPr>
    </w:p>
    <w:p>
      <w:pPr>
        <w:widowControl w:val="0"/>
        <w:numPr>
          <w:ilvl w:val="1"/>
          <w:numId w:val="0"/>
        </w:numPr>
        <w:spacing w:before="312" w:beforeLines="100" w:after="0" w:line="360" w:lineRule="auto"/>
        <w:ind w:left="567" w:leftChars="0" w:hanging="567" w:firstLineChars="0"/>
        <w:jc w:val="center"/>
        <w:outlineLvl w:val="1"/>
        <w:rPr>
          <w:rFonts w:ascii="Times New Roman" w:hAnsi="Times New Roman" w:eastAsia="黑体" w:cs="Times New Roman"/>
          <w:b/>
          <w:bCs/>
          <w:kern w:val="28"/>
          <w:sz w:val="24"/>
          <w:szCs w:val="32"/>
          <w:lang w:val="zh-CN" w:eastAsia="zh-CN" w:bidi="ar-SA"/>
        </w:rPr>
      </w:pPr>
      <w:bookmarkStart w:id="56" w:name="_Toc204157426"/>
      <w:r>
        <w:rPr>
          <w:rFonts w:hint="default" w:ascii="Times New Roman" w:hAnsi="Times New Roman" w:eastAsia="黑体" w:cs="Times New Roman"/>
          <w:b/>
          <w:bCs/>
          <w:kern w:val="28"/>
          <w:sz w:val="24"/>
          <w:szCs w:val="32"/>
          <w:lang w:val="zh-CN" w:eastAsia="zh-CN" w:bidi="ar-SA"/>
        </w:rPr>
        <w:t>6.3</w:t>
      </w:r>
      <w:r>
        <w:rPr>
          <w:rFonts w:ascii="Times New Roman" w:hAnsi="Times New Roman" w:eastAsia="黑体" w:cs="Times New Roman"/>
          <w:b/>
          <w:bCs/>
          <w:kern w:val="28"/>
          <w:sz w:val="24"/>
          <w:szCs w:val="32"/>
          <w:lang w:val="zh-CN" w:eastAsia="zh-CN" w:bidi="ar-SA"/>
        </w:rPr>
        <w:t>智慧运行</w:t>
      </w:r>
      <w:bookmarkEnd w:id="56"/>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6.3.1</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用能自动远传计量系统</w:t>
      </w:r>
      <w:r>
        <w:rPr>
          <w:rFonts w:ascii="Times New Roman" w:hAnsi="Times New Roman" w:eastAsia="宋体" w:cs="Times New Roman"/>
          <w:b w:val="0"/>
          <w:bCs/>
          <w:kern w:val="28"/>
          <w:sz w:val="24"/>
          <w:szCs w:val="32"/>
          <w:lang w:val="zh-CN" w:eastAsia="zh" w:bidi="ar-SA"/>
        </w:rPr>
        <w:t>、</w:t>
      </w:r>
      <w:r>
        <w:rPr>
          <w:rFonts w:ascii="Times New Roman" w:hAnsi="Times New Roman" w:eastAsia="宋体" w:cs="Times New Roman"/>
          <w:b w:val="0"/>
          <w:bCs/>
          <w:kern w:val="28"/>
          <w:sz w:val="24"/>
          <w:szCs w:val="32"/>
          <w:lang w:val="zh-CN" w:eastAsia="zh-CN" w:bidi="ar-SA"/>
        </w:rPr>
        <w:t>能源管理系统实现</w:t>
      </w:r>
      <w:r>
        <w:rPr>
          <w:rFonts w:ascii="Times New Roman" w:hAnsi="Times New Roman" w:eastAsia="宋体" w:cs="Times New Roman"/>
          <w:b w:val="0"/>
          <w:bCs/>
          <w:kern w:val="28"/>
          <w:sz w:val="24"/>
          <w:szCs w:val="32"/>
          <w:lang w:val="zh-CN" w:eastAsia="zh" w:bidi="ar-SA"/>
        </w:rPr>
        <w:t>的检验应</w:t>
      </w:r>
      <w:r>
        <w:rPr>
          <w:rFonts w:ascii="Times New Roman" w:hAnsi="Times New Roman" w:eastAsia="宋体" w:cs="Times New Roman"/>
          <w:b w:val="0"/>
          <w:bCs/>
          <w:kern w:val="28"/>
          <w:sz w:val="24"/>
          <w:szCs w:val="32"/>
          <w:lang w:val="zh-CN" w:eastAsia="zh-CN" w:bidi="ar-SA"/>
        </w:rPr>
        <w:t>符合下列规定：</w:t>
      </w:r>
    </w:p>
    <w:p>
      <w:pPr>
        <w:widowControl w:val="0"/>
        <w:numPr>
          <w:ilvl w:val="0"/>
          <w:numId w:val="72"/>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检验内容：自动远传计量系统、能源管理系统。</w:t>
      </w:r>
    </w:p>
    <w:p>
      <w:pPr>
        <w:widowControl w:val="0"/>
        <w:numPr>
          <w:ilvl w:val="0"/>
          <w:numId w:val="72"/>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val="0"/>
        <w:numPr>
          <w:ilvl w:val="0"/>
          <w:numId w:val="73"/>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查阅项目智能化全套竣工图、智能化系统验收文件和现场照片等相关资</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料；</w:t>
      </w:r>
    </w:p>
    <w:p>
      <w:pPr>
        <w:widowControl w:val="0"/>
        <w:numPr>
          <w:ilvl w:val="0"/>
          <w:numId w:val="73"/>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现场核查项目自动远传计量系统、能源管理系统与设计图纸的符合性和</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运行情况；</w:t>
      </w:r>
    </w:p>
    <w:p>
      <w:pPr>
        <w:widowControl w:val="0"/>
        <w:numPr>
          <w:ilvl w:val="0"/>
          <w:numId w:val="73"/>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在监控平台上对全部控制功能进行模拟验证，机组和末端设备系统采用</w:t>
      </w:r>
    </w:p>
    <w:p>
      <w:pPr>
        <w:widowControl w:val="0"/>
        <w:numPr>
          <w:ilvl w:val="-1"/>
          <w:numId w:val="0"/>
        </w:numPr>
        <w:adjustRightInd w:val="0"/>
        <w:spacing w:line="360" w:lineRule="auto"/>
        <w:ind w:left="806" w:leftChars="384" w:firstLine="0" w:firstLineChars="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抽查模拟验证，抽查数量、比例应符合</w:t>
      </w:r>
      <w:r>
        <w:rPr>
          <w:rFonts w:hint="default" w:cs="Times New Roman"/>
          <w:bCs/>
          <w:kern w:val="2"/>
          <w:sz w:val="24"/>
          <w:szCs w:val="24"/>
          <w:lang w:val="en-US" w:eastAsia="zh-CN" w:bidi="ar-SA"/>
        </w:rPr>
        <w:t>现行国家标准</w:t>
      </w:r>
      <w:r>
        <w:rPr>
          <w:rFonts w:ascii="Times New Roman" w:hAnsi="Times New Roman" w:eastAsia="宋体" w:cs="Times New Roman"/>
          <w:bCs/>
          <w:kern w:val="2"/>
          <w:sz w:val="24"/>
          <w:szCs w:val="24"/>
          <w:lang w:val="en-US" w:eastAsia="zh-CN" w:bidi="ar-SA"/>
        </w:rPr>
        <w:t>《智能建筑工程质量验收规范》GB 50339 的相关规定；</w:t>
      </w:r>
    </w:p>
    <w:p>
      <w:pPr>
        <w:widowControl w:val="0"/>
        <w:numPr>
          <w:ilvl w:val="0"/>
          <w:numId w:val="73"/>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核查数据的显示、记录、统计、汇总、相关分析等功能，对电表取数的</w:t>
      </w:r>
    </w:p>
    <w:p>
      <w:pPr>
        <w:widowControl w:val="0"/>
        <w:numPr>
          <w:ilvl w:val="-1"/>
          <w:numId w:val="0"/>
        </w:numPr>
        <w:adjustRightInd w:val="0"/>
        <w:spacing w:line="360" w:lineRule="auto"/>
        <w:ind w:left="766" w:leftChars="365" w:firstLine="0" w:firstLineChars="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准确性进行检验，确保数据真实有效，所有结果应符合现行国家标准《智能建筑工程质量验收规范》GB 50339等的相关规定；</w:t>
      </w:r>
    </w:p>
    <w:p>
      <w:pPr>
        <w:widowControl w:val="0"/>
        <w:numPr>
          <w:ilvl w:val="0"/>
          <w:numId w:val="73"/>
        </w:numPr>
        <w:adjustRightInd w:val="0"/>
        <w:spacing w:line="360" w:lineRule="auto"/>
        <w:ind w:left="0" w:firstLine="567"/>
        <w:jc w:val="both"/>
        <w:outlineLvl w:val="9"/>
        <w:rPr>
          <w:rFonts w:ascii="Times New Roman" w:hAnsi="Times New Roman" w:eastAsia="宋体" w:cs="Times New Roman"/>
          <w:bCs/>
          <w:color w:val="auto"/>
          <w:kern w:val="2"/>
          <w:sz w:val="24"/>
          <w:szCs w:val="24"/>
          <w:lang w:val="en-US" w:eastAsia="zh-CN" w:bidi="ar-SA"/>
        </w:rPr>
      </w:pPr>
      <w:r>
        <w:rPr>
          <w:rFonts w:ascii="Times New Roman" w:hAnsi="Times New Roman" w:eastAsia="宋体" w:cs="Times New Roman"/>
          <w:bCs/>
          <w:color w:val="auto"/>
          <w:kern w:val="2"/>
          <w:sz w:val="24"/>
          <w:szCs w:val="24"/>
          <w:lang w:val="en-US" w:eastAsia="zh-CN" w:bidi="ar-SA"/>
        </w:rPr>
        <w:t>核查系统的维保记录。</w:t>
      </w:r>
    </w:p>
    <w:p>
      <w:pPr>
        <w:widowControl w:val="0"/>
        <w:numPr>
          <w:ilvl w:val="0"/>
          <w:numId w:val="72"/>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检验成果：自动远传计量系统、能源管理系统运行检验报告。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6.3.2</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PM10、PM2.5、CO</w:t>
      </w:r>
      <w:r>
        <w:rPr>
          <w:rFonts w:ascii="Times New Roman" w:hAnsi="Times New Roman" w:eastAsia="宋体" w:cs="Times New Roman"/>
          <w:b w:val="0"/>
          <w:bCs/>
          <w:kern w:val="28"/>
          <w:sz w:val="24"/>
          <w:szCs w:val="32"/>
          <w:vertAlign w:val="subscript"/>
          <w:lang w:val="zh-CN" w:eastAsia="zh-CN" w:bidi="ar-SA"/>
        </w:rPr>
        <w:t>2</w:t>
      </w:r>
      <w:r>
        <w:rPr>
          <w:rFonts w:ascii="Times New Roman" w:hAnsi="Times New Roman" w:eastAsia="宋体" w:cs="Times New Roman"/>
          <w:b w:val="0"/>
          <w:bCs/>
          <w:kern w:val="28"/>
          <w:sz w:val="24"/>
          <w:szCs w:val="32"/>
          <w:lang w:val="zh-CN" w:eastAsia="zh-CN" w:bidi="ar-SA"/>
        </w:rPr>
        <w:t xml:space="preserve"> 浓度的空气质量监测系统</w:t>
      </w:r>
      <w:r>
        <w:rPr>
          <w:rFonts w:ascii="Times New Roman" w:hAnsi="Times New Roman" w:eastAsia="宋体" w:cs="Times New Roman"/>
          <w:b w:val="0"/>
          <w:bCs/>
          <w:kern w:val="28"/>
          <w:sz w:val="24"/>
          <w:szCs w:val="32"/>
          <w:lang w:val="zh-CN" w:eastAsia="zh" w:bidi="ar-SA"/>
        </w:rPr>
        <w:t>的检验应符合下列规定：</w:t>
      </w:r>
    </w:p>
    <w:p>
      <w:pPr>
        <w:widowControl w:val="0"/>
        <w:numPr>
          <w:ilvl w:val="0"/>
          <w:numId w:val="74"/>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 PM10、PM2.5、CO</w:t>
      </w:r>
      <w:r>
        <w:rPr>
          <w:rFonts w:ascii="Times New Roman" w:hAnsi="Times New Roman" w:eastAsia="宋体" w:cs="Times New Roman"/>
          <w:b w:val="0"/>
          <w:bCs/>
          <w:kern w:val="28"/>
          <w:sz w:val="24"/>
          <w:szCs w:val="32"/>
          <w:vertAlign w:val="subscript"/>
          <w:lang w:val="zh-CN" w:eastAsia="zh-CN" w:bidi="ar-SA"/>
        </w:rPr>
        <w:t>2</w:t>
      </w:r>
      <w:r>
        <w:rPr>
          <w:rFonts w:ascii="Times New Roman" w:hAnsi="Times New Roman" w:eastAsia="宋体" w:cs="Times New Roman"/>
          <w:b w:val="0"/>
          <w:bCs/>
          <w:kern w:val="28"/>
          <w:sz w:val="24"/>
          <w:szCs w:val="32"/>
          <w:lang w:val="zh-CN" w:eastAsia="zh-CN" w:bidi="ar-SA"/>
        </w:rPr>
        <w:t xml:space="preserve"> 浓度的空气质量监测系统、监测数据储存和实时显示等功能。</w:t>
      </w:r>
    </w:p>
    <w:p>
      <w:pPr>
        <w:widowControl w:val="0"/>
        <w:numPr>
          <w:ilvl w:val="0"/>
          <w:numId w:val="74"/>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val="0"/>
        <w:numPr>
          <w:ilvl w:val="0"/>
          <w:numId w:val="75"/>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查阅智能化全套竣工图、智能化系统验收文件、产品性能检测报告等相</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关资料；</w:t>
      </w:r>
    </w:p>
    <w:p>
      <w:pPr>
        <w:widowControl w:val="0"/>
        <w:numPr>
          <w:ilvl w:val="0"/>
          <w:numId w:val="75"/>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现场核查空气质量监测系统与设计资料的符合性；检查至少一年的运行</w:t>
      </w:r>
      <w:r>
        <w:rPr>
          <w:rFonts w:hint="eastAsia" w:cs="Times New Roman"/>
          <w:bCs/>
          <w:kern w:val="2"/>
          <w:sz w:val="24"/>
          <w:szCs w:val="24"/>
          <w:lang w:val="en-US" w:eastAsia="zh-CN" w:bidi="ar-SA"/>
        </w:rPr>
        <w:t xml:space="preserve"> </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记录、监控功能、检测报告和监测数据储存情况；</w:t>
      </w:r>
    </w:p>
    <w:p>
      <w:pPr>
        <w:widowControl w:val="0"/>
        <w:numPr>
          <w:ilvl w:val="0"/>
          <w:numId w:val="75"/>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在监控平台上对全部控制功能进行模拟验证；末端设备系统及传感系统</w:t>
      </w:r>
    </w:p>
    <w:p>
      <w:pPr>
        <w:widowControl w:val="0"/>
        <w:numPr>
          <w:ilvl w:val="-1"/>
          <w:numId w:val="0"/>
        </w:numPr>
        <w:adjustRightInd w:val="0"/>
        <w:spacing w:line="360" w:lineRule="auto"/>
        <w:ind w:left="766" w:leftChars="365" w:firstLine="0" w:firstLineChars="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采用抽查模拟验证，确保采集数据的真实性和准确性；抽查数量、比例应符合《智能建筑工程质量验收规范》GB 50339 的相关规定；</w:t>
      </w:r>
    </w:p>
    <w:p>
      <w:pPr>
        <w:widowControl w:val="0"/>
        <w:numPr>
          <w:ilvl w:val="0"/>
          <w:numId w:val="75"/>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核查数据的显示、记录、统计、汇总、相关分析等功能，结果应符合现</w:t>
      </w:r>
    </w:p>
    <w:p>
      <w:pPr>
        <w:widowControl w:val="0"/>
        <w:numPr>
          <w:ilvl w:val="-1"/>
          <w:numId w:val="0"/>
        </w:numPr>
        <w:adjustRightInd w:val="0"/>
        <w:spacing w:line="360" w:lineRule="auto"/>
        <w:ind w:left="766" w:leftChars="365" w:firstLine="0" w:firstLineChars="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行国家标准《智能建筑工程质量验收规范》GB 50339、《环境空气颗粒物（PM10和PM2.5）连续自动监测系统技术要求及检测方法》HJ 653-2021等相关规范的规定；</w:t>
      </w:r>
    </w:p>
    <w:p>
      <w:pPr>
        <w:widowControl w:val="0"/>
        <w:numPr>
          <w:ilvl w:val="0"/>
          <w:numId w:val="74"/>
        </w:numPr>
        <w:spacing w:before="0" w:after="0" w:line="360" w:lineRule="auto"/>
        <w:ind w:left="0" w:firstLine="480" w:firstLineChars="200"/>
        <w:jc w:val="both"/>
        <w:outlineLvl w:val="9"/>
        <w:rPr>
          <w:rFonts w:ascii="Times New Roman" w:hAnsi="Times New Roman" w:eastAsia="黑体" w:cs="Times New Roman"/>
          <w:b/>
          <w:bCs/>
          <w:color w:val="000000"/>
          <w:kern w:val="0"/>
          <w:sz w:val="24"/>
          <w:szCs w:val="24"/>
          <w:lang w:val="zh-CN" w:eastAsia="zh-CN" w:bidi="ar-SA"/>
        </w:rPr>
      </w:pPr>
      <w:r>
        <w:rPr>
          <w:rFonts w:ascii="Times New Roman" w:hAnsi="Times New Roman" w:eastAsia="宋体" w:cs="Times New Roman"/>
          <w:b w:val="0"/>
          <w:bCs/>
          <w:kern w:val="28"/>
          <w:sz w:val="24"/>
          <w:szCs w:val="32"/>
          <w:lang w:val="zh-CN" w:eastAsia="zh-CN" w:bidi="ar-SA"/>
        </w:rPr>
        <w:t>检验成果： PM10、PM2.5、CO2 浓度的空气质量监测系统运行检验报告。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6.3.3</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用水远传计量系统和水质在线监测系统的检验应符合下列规定：</w:t>
      </w:r>
    </w:p>
    <w:p>
      <w:pPr>
        <w:widowControl w:val="0"/>
        <w:numPr>
          <w:ilvl w:val="0"/>
          <w:numId w:val="76"/>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检验内容：用水计量系统、水质在线监测系统。</w:t>
      </w:r>
    </w:p>
    <w:p>
      <w:pPr>
        <w:widowControl w:val="0"/>
        <w:numPr>
          <w:ilvl w:val="0"/>
          <w:numId w:val="76"/>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val="0"/>
        <w:numPr>
          <w:ilvl w:val="0"/>
          <w:numId w:val="77"/>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查阅项目给排水专业竣工图设计说明、智能化全套竣工图、智能化系统</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验收文件和各类用水水质检测报告等相关资料；</w:t>
      </w:r>
    </w:p>
    <w:p>
      <w:pPr>
        <w:widowControl w:val="0"/>
        <w:numPr>
          <w:ilvl w:val="0"/>
          <w:numId w:val="77"/>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现场核查项目用水计量系统、水质在线监测系统与相关资料的符合性；</w:t>
      </w:r>
    </w:p>
    <w:p>
      <w:pPr>
        <w:widowControl w:val="0"/>
        <w:numPr>
          <w:ilvl w:val="0"/>
          <w:numId w:val="77"/>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在远程控制平台上对全部控制功能进行模拟验证，末端设备系统及传感</w:t>
      </w:r>
      <w:r>
        <w:rPr>
          <w:rFonts w:hint="eastAsia" w:cs="Times New Roman"/>
          <w:bCs/>
          <w:kern w:val="2"/>
          <w:sz w:val="24"/>
          <w:szCs w:val="24"/>
          <w:lang w:val="en-US" w:eastAsia="zh-CN" w:bidi="ar-SA"/>
        </w:rPr>
        <w:t xml:space="preserve"> </w:t>
      </w:r>
    </w:p>
    <w:p>
      <w:pPr>
        <w:widowControl w:val="0"/>
        <w:numPr>
          <w:ilvl w:val="-1"/>
          <w:numId w:val="0"/>
        </w:numPr>
        <w:adjustRightInd w:val="0"/>
        <w:spacing w:line="360" w:lineRule="auto"/>
        <w:ind w:left="766" w:leftChars="365" w:firstLine="0" w:firstLineChars="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系统采用抽查模拟验证，确保采集数据的真实性和准确性，抽查数量、比例应符合《智能建筑工程质量验收规范》（GB 50339） 的相关规定；</w:t>
      </w:r>
    </w:p>
    <w:p>
      <w:pPr>
        <w:widowControl w:val="0"/>
        <w:numPr>
          <w:ilvl w:val="0"/>
          <w:numId w:val="77"/>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核查数据的显示、记录、统计、汇总、相关分析等功能，结果应符合现</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行国家标准《智能建筑工程质量验收规范》GB 50339等相关规范的规定；</w:t>
      </w:r>
    </w:p>
    <w:p>
      <w:pPr>
        <w:widowControl w:val="0"/>
        <w:numPr>
          <w:ilvl w:val="0"/>
          <w:numId w:val="77"/>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水质检验采样工作应符合现行国家环境保护标准《水质采样技术指导》</w:t>
      </w:r>
    </w:p>
    <w:p>
      <w:pPr>
        <w:widowControl w:val="0"/>
        <w:numPr>
          <w:ilvl w:val="-1"/>
          <w:numId w:val="0"/>
        </w:numPr>
        <w:adjustRightInd w:val="0"/>
        <w:spacing w:line="360" w:lineRule="auto"/>
        <w:ind w:left="766" w:leftChars="365" w:firstLine="0" w:firstLineChars="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HJ 494和《水质采样方案设计技术规定》HJ 495的规定；非传统水源水质取样点应在相应检验水源的总出水口，水质应符合现行国家相关标准的规定；</w:t>
      </w:r>
    </w:p>
    <w:p>
      <w:pPr>
        <w:widowControl w:val="0"/>
        <w:numPr>
          <w:ilvl w:val="0"/>
          <w:numId w:val="77"/>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核查系统的维保记录。</w:t>
      </w:r>
    </w:p>
    <w:p>
      <w:pPr>
        <w:widowControl w:val="0"/>
        <w:numPr>
          <w:ilvl w:val="0"/>
          <w:numId w:val="76"/>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检验成果：用水计量系统、水质在线监测系统运行检验报告。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6.3.4</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智能化服务系统的检验应符合下列规定：</w:t>
      </w:r>
    </w:p>
    <w:p>
      <w:pPr>
        <w:widowControl w:val="0"/>
        <w:numPr>
          <w:ilvl w:val="0"/>
          <w:numId w:val="78"/>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检验内容：智能化服务系统。</w:t>
      </w:r>
    </w:p>
    <w:p>
      <w:pPr>
        <w:widowControl w:val="0"/>
        <w:numPr>
          <w:ilvl w:val="0"/>
          <w:numId w:val="78"/>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val="0"/>
        <w:numPr>
          <w:ilvl w:val="0"/>
          <w:numId w:val="79"/>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查阅项目智能化全套竣工图、智能化系统验收文件等相关资料；</w:t>
      </w:r>
    </w:p>
    <w:p>
      <w:pPr>
        <w:widowControl w:val="0"/>
        <w:numPr>
          <w:ilvl w:val="0"/>
          <w:numId w:val="79"/>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现场核查项目智能化服务系统与设计资料的符合性，了解智能化服务系</w:t>
      </w:r>
      <w:r>
        <w:rPr>
          <w:rFonts w:hint="eastAsia" w:cs="Times New Roman"/>
          <w:bCs/>
          <w:kern w:val="2"/>
          <w:sz w:val="24"/>
          <w:szCs w:val="24"/>
          <w:lang w:val="en-US" w:eastAsia="zh-CN" w:bidi="ar-SA"/>
        </w:rPr>
        <w:t xml:space="preserve"> </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统的控制策略、运行记录及应用效果；</w:t>
      </w:r>
    </w:p>
    <w:p>
      <w:pPr>
        <w:widowControl w:val="0"/>
        <w:numPr>
          <w:ilvl w:val="0"/>
          <w:numId w:val="79"/>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在远程控制平台上对全部控制功能进行模拟验证，末端设备系统采用抽</w:t>
      </w:r>
    </w:p>
    <w:p>
      <w:pPr>
        <w:widowControl w:val="0"/>
        <w:numPr>
          <w:ilvl w:val="-1"/>
          <w:numId w:val="0"/>
        </w:numPr>
        <w:adjustRightInd w:val="0"/>
        <w:spacing w:line="360" w:lineRule="auto"/>
        <w:ind w:left="766" w:leftChars="365" w:firstLine="0" w:firstLineChars="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查模拟验证，抽查数量、比例应符合《智能建筑工程质量验收规范》GB 50339 的相关规定，如有接入智慧城市（城区、社区）的功能，进行模拟验证；</w:t>
      </w:r>
    </w:p>
    <w:p>
      <w:pPr>
        <w:widowControl w:val="0"/>
        <w:numPr>
          <w:ilvl w:val="0"/>
          <w:numId w:val="79"/>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核查数据的显示、记录、统计、汇总、相关分析等功能，结果应符合现</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行国家标准《智能建筑工程质量验收规范》GB 50339等相关规范的规定；</w:t>
      </w:r>
    </w:p>
    <w:p>
      <w:pPr>
        <w:widowControl w:val="0"/>
        <w:numPr>
          <w:ilvl w:val="0"/>
          <w:numId w:val="79"/>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核查智能化服务系统（含自动监控管理功能）的维保工作记录。</w:t>
      </w:r>
    </w:p>
    <w:p>
      <w:pPr>
        <w:widowControl w:val="0"/>
        <w:numPr>
          <w:ilvl w:val="0"/>
          <w:numId w:val="78"/>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检验成果：智能化服</w:t>
      </w:r>
      <w:r>
        <w:rPr>
          <w:rFonts w:ascii="Times New Roman" w:hAnsi="Times New Roman" w:eastAsia="宋体" w:cs="Times New Roman"/>
          <w:b w:val="0"/>
          <w:bCs w:val="0"/>
          <w:kern w:val="2"/>
          <w:sz w:val="24"/>
          <w:szCs w:val="24"/>
          <w:lang w:val="en-US" w:eastAsia="zh" w:bidi="ar-SA"/>
        </w:rPr>
        <w:t>务系统（含自动监控管理功能）运行检验报</w:t>
      </w:r>
      <w:r>
        <w:rPr>
          <w:rFonts w:ascii="Times New Roman" w:hAnsi="Times New Roman" w:eastAsia="宋体" w:cs="Times New Roman"/>
          <w:b w:val="0"/>
          <w:bCs/>
          <w:kern w:val="28"/>
          <w:sz w:val="24"/>
          <w:szCs w:val="32"/>
          <w:lang w:val="zh-CN" w:eastAsia="zh-CN" w:bidi="ar-SA"/>
        </w:rPr>
        <w:t>告。</w:t>
      </w:r>
    </w:p>
    <w:p>
      <w:pPr>
        <w:widowControl w:val="0"/>
        <w:numPr>
          <w:ilvl w:val="1"/>
          <w:numId w:val="0"/>
        </w:numPr>
        <w:spacing w:before="312" w:beforeLines="100" w:after="0" w:line="360" w:lineRule="auto"/>
        <w:ind w:left="567" w:leftChars="0" w:hanging="567" w:firstLineChars="0"/>
        <w:jc w:val="center"/>
        <w:outlineLvl w:val="1"/>
        <w:rPr>
          <w:rFonts w:ascii="Times New Roman" w:hAnsi="Times New Roman" w:eastAsia="黑体" w:cs="Times New Roman"/>
          <w:b/>
          <w:bCs/>
          <w:kern w:val="28"/>
          <w:sz w:val="24"/>
          <w:szCs w:val="32"/>
          <w:lang w:val="zh-CN" w:eastAsia="zh-CN" w:bidi="ar-SA"/>
        </w:rPr>
      </w:pPr>
      <w:bookmarkStart w:id="57" w:name="_Toc204157427"/>
      <w:r>
        <w:rPr>
          <w:rFonts w:hint="default" w:ascii="Times New Roman" w:hAnsi="Times New Roman" w:eastAsia="黑体" w:cs="Times New Roman"/>
          <w:b/>
          <w:bCs/>
          <w:kern w:val="28"/>
          <w:sz w:val="24"/>
          <w:szCs w:val="32"/>
          <w:lang w:val="zh-CN" w:eastAsia="zh-CN" w:bidi="ar-SA"/>
        </w:rPr>
        <w:t>6.4</w:t>
      </w:r>
      <w:r>
        <w:rPr>
          <w:rFonts w:ascii="Times New Roman" w:hAnsi="Times New Roman" w:eastAsia="黑体" w:cs="Times New Roman"/>
          <w:b/>
          <w:bCs/>
          <w:kern w:val="28"/>
          <w:sz w:val="24"/>
          <w:szCs w:val="32"/>
          <w:lang w:val="zh-CN" w:eastAsia="zh-CN" w:bidi="ar-SA"/>
        </w:rPr>
        <w:t>物业管理</w:t>
      </w:r>
      <w:bookmarkEnd w:id="57"/>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6.4.1</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节能、节水的操作规程、应急预案，</w:t>
      </w:r>
      <w:r>
        <w:rPr>
          <w:rFonts w:ascii="Times New Roman" w:hAnsi="Times New Roman" w:eastAsia="宋体" w:cs="Times New Roman"/>
          <w:b w:val="0"/>
          <w:bCs/>
          <w:kern w:val="28"/>
          <w:sz w:val="24"/>
          <w:szCs w:val="32"/>
          <w:lang w:val="zh-CN" w:eastAsia="zh" w:bidi="ar-SA"/>
        </w:rPr>
        <w:t>以及</w:t>
      </w:r>
      <w:r>
        <w:rPr>
          <w:rFonts w:ascii="Times New Roman" w:hAnsi="Times New Roman" w:eastAsia="宋体" w:cs="Times New Roman"/>
          <w:b w:val="0"/>
          <w:bCs/>
          <w:kern w:val="28"/>
          <w:sz w:val="24"/>
          <w:szCs w:val="32"/>
          <w:lang w:val="zh-CN" w:eastAsia="zh-CN" w:bidi="ar-SA"/>
        </w:rPr>
        <w:t>能源资源管理激励机制</w:t>
      </w:r>
      <w:r>
        <w:rPr>
          <w:rFonts w:ascii="Times New Roman" w:hAnsi="Times New Roman" w:eastAsia="宋体" w:cs="Times New Roman"/>
          <w:b w:val="0"/>
          <w:bCs/>
          <w:kern w:val="28"/>
          <w:sz w:val="24"/>
          <w:szCs w:val="32"/>
          <w:lang w:val="zh-CN" w:eastAsia="zh" w:bidi="ar-SA"/>
        </w:rPr>
        <w:t>的检验应</w:t>
      </w:r>
      <w:r>
        <w:rPr>
          <w:rFonts w:ascii="Times New Roman" w:hAnsi="Times New Roman" w:eastAsia="宋体" w:cs="Times New Roman"/>
          <w:b w:val="0"/>
          <w:bCs/>
          <w:kern w:val="28"/>
          <w:sz w:val="24"/>
          <w:szCs w:val="32"/>
          <w:lang w:val="zh-CN" w:eastAsia="zh-CN" w:bidi="ar-SA"/>
        </w:rPr>
        <w:t>符合下列规定：</w:t>
      </w:r>
    </w:p>
    <w:p>
      <w:pPr>
        <w:widowControl w:val="0"/>
        <w:numPr>
          <w:ilvl w:val="0"/>
          <w:numId w:val="80"/>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检验内容：节能、节水、节材、绿化的操作规程、应急预案及能源资源管理激励机制。</w:t>
      </w:r>
    </w:p>
    <w:p>
      <w:pPr>
        <w:widowControl w:val="0"/>
        <w:numPr>
          <w:ilvl w:val="0"/>
          <w:numId w:val="80"/>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val="0"/>
        <w:numPr>
          <w:ilvl w:val="0"/>
          <w:numId w:val="81"/>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查阅节能、节水、节材、绿化的操作规程、应急预案及能源资源管理激</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励机制；</w:t>
      </w:r>
    </w:p>
    <w:p>
      <w:pPr>
        <w:widowControl w:val="0"/>
        <w:numPr>
          <w:ilvl w:val="0"/>
          <w:numId w:val="81"/>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结合深圳市《绿色物业管理项目评价标准》SJG 50-2022的相关要求，现</w:t>
      </w:r>
    </w:p>
    <w:p>
      <w:pPr>
        <w:widowControl w:val="0"/>
        <w:numPr>
          <w:ilvl w:val="-1"/>
          <w:numId w:val="0"/>
        </w:numPr>
        <w:adjustRightInd w:val="0"/>
        <w:spacing w:line="360" w:lineRule="auto"/>
        <w:ind w:left="766" w:leftChars="365" w:firstLine="0" w:firstLineChars="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场核查相关的操作规程、应急预案文件及应急预案演练、能源资源管理激励机制文件。</w:t>
      </w:r>
    </w:p>
    <w:p>
      <w:pPr>
        <w:widowControl w:val="0"/>
        <w:numPr>
          <w:ilvl w:val="0"/>
          <w:numId w:val="80"/>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检验成果：节能、节水、节材、绿化的操作规程、应急预案及能源资源管理激励机制运行检验报告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6.4.2</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建筑平均日用水量</w:t>
      </w:r>
      <w:r>
        <w:rPr>
          <w:rFonts w:ascii="Times New Roman" w:hAnsi="Times New Roman" w:eastAsia="宋体" w:cs="Times New Roman"/>
          <w:b w:val="0"/>
          <w:bCs/>
          <w:kern w:val="28"/>
          <w:sz w:val="24"/>
          <w:szCs w:val="32"/>
          <w:lang w:val="zh-CN" w:eastAsia="zh" w:bidi="ar-SA"/>
        </w:rPr>
        <w:t>的检验应</w:t>
      </w:r>
      <w:r>
        <w:rPr>
          <w:rFonts w:ascii="Times New Roman" w:hAnsi="Times New Roman" w:eastAsia="宋体" w:cs="Times New Roman"/>
          <w:b w:val="0"/>
          <w:bCs/>
          <w:kern w:val="28"/>
          <w:sz w:val="24"/>
          <w:szCs w:val="32"/>
          <w:lang w:val="zh-CN" w:eastAsia="zh-CN" w:bidi="ar-SA"/>
        </w:rPr>
        <w:t>符合下列规定：</w:t>
      </w:r>
    </w:p>
    <w:p>
      <w:pPr>
        <w:widowControl w:val="0"/>
        <w:numPr>
          <w:ilvl w:val="0"/>
          <w:numId w:val="82"/>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检验内容：建筑平均日用水量。</w:t>
      </w:r>
    </w:p>
    <w:p>
      <w:pPr>
        <w:widowControl w:val="0"/>
        <w:numPr>
          <w:ilvl w:val="0"/>
          <w:numId w:val="82"/>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val="0"/>
        <w:numPr>
          <w:ilvl w:val="0"/>
          <w:numId w:val="83"/>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查阅项目给排水全套竣工图等设计文件；</w:t>
      </w:r>
    </w:p>
    <w:p>
      <w:pPr>
        <w:widowControl w:val="0"/>
        <w:numPr>
          <w:ilvl w:val="0"/>
          <w:numId w:val="83"/>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结合深圳市《绿色物业管理项目评价标准》（SJG 50-2022）的相关要求，</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现场核查实测用水计量报告和建筑平均日用水量计算书的符合性；</w:t>
      </w:r>
    </w:p>
    <w:p>
      <w:pPr>
        <w:widowControl w:val="0"/>
        <w:numPr>
          <w:ilvl w:val="0"/>
          <w:numId w:val="82"/>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检验成果：建筑平均日用水量检验报告。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6.4.3</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建筑运营效果</w:t>
      </w:r>
      <w:r>
        <w:rPr>
          <w:rFonts w:ascii="Times New Roman" w:hAnsi="Times New Roman" w:eastAsia="宋体" w:cs="Times New Roman"/>
          <w:b w:val="0"/>
          <w:bCs/>
          <w:kern w:val="28"/>
          <w:sz w:val="24"/>
          <w:szCs w:val="32"/>
          <w:lang w:val="zh-CN" w:eastAsia="zh" w:bidi="ar-SA"/>
        </w:rPr>
        <w:t>定期</w:t>
      </w:r>
      <w:r>
        <w:rPr>
          <w:rFonts w:ascii="Times New Roman" w:hAnsi="Times New Roman" w:eastAsia="宋体" w:cs="Times New Roman"/>
          <w:b w:val="0"/>
          <w:bCs/>
          <w:kern w:val="28"/>
          <w:sz w:val="24"/>
          <w:szCs w:val="32"/>
          <w:lang w:val="zh-CN" w:eastAsia="zh-CN" w:bidi="ar-SA"/>
        </w:rPr>
        <w:t>评估</w:t>
      </w:r>
      <w:r>
        <w:rPr>
          <w:rFonts w:ascii="Times New Roman" w:hAnsi="Times New Roman" w:eastAsia="宋体" w:cs="Times New Roman"/>
          <w:b w:val="0"/>
          <w:bCs/>
          <w:kern w:val="28"/>
          <w:sz w:val="24"/>
          <w:szCs w:val="32"/>
          <w:lang w:val="zh-CN" w:eastAsia="zh" w:bidi="ar-SA"/>
        </w:rPr>
        <w:t>及</w:t>
      </w:r>
      <w:r>
        <w:rPr>
          <w:rFonts w:ascii="Times New Roman" w:hAnsi="Times New Roman" w:eastAsia="宋体" w:cs="Times New Roman"/>
          <w:b w:val="0"/>
          <w:bCs/>
          <w:kern w:val="28"/>
          <w:sz w:val="24"/>
          <w:szCs w:val="32"/>
          <w:lang w:val="zh-CN" w:eastAsia="zh-CN" w:bidi="ar-SA"/>
        </w:rPr>
        <w:t>运行优化</w:t>
      </w:r>
      <w:r>
        <w:rPr>
          <w:rFonts w:ascii="Times New Roman" w:hAnsi="Times New Roman" w:eastAsia="宋体" w:cs="Times New Roman"/>
          <w:b w:val="0"/>
          <w:bCs/>
          <w:kern w:val="28"/>
          <w:sz w:val="24"/>
          <w:szCs w:val="32"/>
          <w:lang w:val="zh-CN" w:eastAsia="zh" w:bidi="ar-SA"/>
        </w:rPr>
        <w:t>的检验应</w:t>
      </w:r>
      <w:r>
        <w:rPr>
          <w:rFonts w:ascii="Times New Roman" w:hAnsi="Times New Roman" w:eastAsia="宋体" w:cs="Times New Roman"/>
          <w:b w:val="0"/>
          <w:bCs/>
          <w:kern w:val="28"/>
          <w:sz w:val="24"/>
          <w:szCs w:val="32"/>
          <w:lang w:val="zh-CN" w:eastAsia="zh-CN" w:bidi="ar-SA"/>
        </w:rPr>
        <w:t>符合下列规定：</w:t>
      </w:r>
    </w:p>
    <w:p>
      <w:pPr>
        <w:widowControl w:val="0"/>
        <w:numPr>
          <w:ilvl w:val="0"/>
          <w:numId w:val="84"/>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检验内容：建筑运营效果定期评估及优化工作。</w:t>
      </w:r>
    </w:p>
    <w:p>
      <w:pPr>
        <w:widowControl w:val="0"/>
        <w:numPr>
          <w:ilvl w:val="0"/>
          <w:numId w:val="84"/>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val="0"/>
        <w:numPr>
          <w:ilvl w:val="0"/>
          <w:numId w:val="85"/>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查阅建筑运营效果定期评估及运行优化报告；</w:t>
      </w:r>
    </w:p>
    <w:p>
      <w:pPr>
        <w:widowControl w:val="0"/>
        <w:numPr>
          <w:ilvl w:val="0"/>
          <w:numId w:val="85"/>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结合深圳市《绿色物业管理项目评价标准》（SJG 50-2022）的相关要求，</w:t>
      </w:r>
    </w:p>
    <w:p>
      <w:pPr>
        <w:widowControl w:val="0"/>
        <w:numPr>
          <w:ilvl w:val="-1"/>
          <w:numId w:val="0"/>
        </w:numPr>
        <w:adjustRightInd w:val="0"/>
        <w:spacing w:line="360" w:lineRule="auto"/>
        <w:ind w:left="766" w:leftChars="365" w:firstLine="0" w:firstLineChars="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现场核查相关管理制度文件、年度工作计划或方案、工作记录、年度评估报告、优化改进措施及优化落实情况。</w:t>
      </w:r>
    </w:p>
    <w:p>
      <w:pPr>
        <w:widowControl w:val="0"/>
        <w:numPr>
          <w:ilvl w:val="0"/>
          <w:numId w:val="85"/>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现场核查物业管理系统运行的情况以及信息化系统档案的完整性，视频</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监控记录保存时间应不少于30天。</w:t>
      </w:r>
    </w:p>
    <w:p>
      <w:pPr>
        <w:widowControl w:val="0"/>
        <w:numPr>
          <w:ilvl w:val="0"/>
          <w:numId w:val="84"/>
        </w:numPr>
        <w:spacing w:before="0" w:after="0" w:line="360" w:lineRule="auto"/>
        <w:ind w:left="0" w:firstLine="480" w:firstLineChars="200"/>
        <w:jc w:val="both"/>
        <w:outlineLvl w:val="9"/>
        <w:rPr>
          <w:rFonts w:ascii="Times New Roman" w:hAnsi="Times New Roman" w:eastAsia="黑体" w:cs="Times New Roman"/>
          <w:b/>
          <w:bCs/>
          <w:color w:val="000000"/>
          <w:kern w:val="0"/>
          <w:sz w:val="24"/>
          <w:szCs w:val="24"/>
          <w:lang w:val="zh-CN" w:eastAsia="zh-CN" w:bidi="ar-SA"/>
        </w:rPr>
      </w:pPr>
      <w:r>
        <w:rPr>
          <w:rFonts w:ascii="Times New Roman" w:hAnsi="Times New Roman" w:eastAsia="宋体" w:cs="Times New Roman"/>
          <w:b w:val="0"/>
          <w:bCs/>
          <w:kern w:val="28"/>
          <w:sz w:val="24"/>
          <w:szCs w:val="32"/>
          <w:lang w:val="zh-CN" w:eastAsia="zh-CN" w:bidi="ar-SA"/>
        </w:rPr>
        <w:t>检验成果：</w:t>
      </w:r>
      <w:r>
        <w:rPr>
          <w:rFonts w:ascii="Times New Roman" w:hAnsi="Times New Roman" w:eastAsia="宋体" w:cs="Times New Roman"/>
          <w:b w:val="0"/>
          <w:bCs w:val="0"/>
          <w:kern w:val="2"/>
          <w:sz w:val="24"/>
          <w:szCs w:val="24"/>
          <w:lang w:val="en-US" w:eastAsia="zh-CN" w:bidi="ar-SA"/>
        </w:rPr>
        <w:t>建筑运营效果评估及优化工作检验报告。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6.4.4</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绿色教育宣传和实践机制，</w:t>
      </w:r>
      <w:r>
        <w:rPr>
          <w:rFonts w:ascii="Times New Roman" w:hAnsi="Times New Roman" w:eastAsia="宋体" w:cs="Times New Roman"/>
          <w:b w:val="0"/>
          <w:bCs/>
          <w:kern w:val="28"/>
          <w:sz w:val="24"/>
          <w:szCs w:val="32"/>
          <w:lang w:val="zh-CN" w:eastAsia="zh" w:bidi="ar-SA"/>
        </w:rPr>
        <w:t>以及</w:t>
      </w:r>
      <w:r>
        <w:rPr>
          <w:rFonts w:ascii="Times New Roman" w:hAnsi="Times New Roman" w:eastAsia="宋体" w:cs="Times New Roman"/>
          <w:b w:val="0"/>
          <w:bCs/>
          <w:kern w:val="28"/>
          <w:sz w:val="24"/>
          <w:szCs w:val="32"/>
          <w:lang w:val="zh-CN" w:eastAsia="zh-CN" w:bidi="ar-SA"/>
        </w:rPr>
        <w:t>绿色设施使用手册</w:t>
      </w:r>
      <w:r>
        <w:rPr>
          <w:rFonts w:ascii="Times New Roman" w:hAnsi="Times New Roman" w:eastAsia="宋体" w:cs="Times New Roman"/>
          <w:b w:val="0"/>
          <w:bCs/>
          <w:kern w:val="28"/>
          <w:sz w:val="24"/>
          <w:szCs w:val="32"/>
          <w:lang w:val="zh-CN" w:eastAsia="zh" w:bidi="ar-SA"/>
        </w:rPr>
        <w:t>的检验应</w:t>
      </w:r>
      <w:r>
        <w:rPr>
          <w:rFonts w:ascii="Times New Roman" w:hAnsi="Times New Roman" w:eastAsia="宋体" w:cs="Times New Roman"/>
          <w:b w:val="0"/>
          <w:bCs/>
          <w:kern w:val="28"/>
          <w:sz w:val="24"/>
          <w:szCs w:val="32"/>
          <w:lang w:val="zh-CN" w:eastAsia="zh-CN" w:bidi="ar-SA"/>
        </w:rPr>
        <w:t>符合下列规定：</w:t>
      </w:r>
    </w:p>
    <w:p>
      <w:pPr>
        <w:widowControl w:val="0"/>
        <w:numPr>
          <w:ilvl w:val="0"/>
          <w:numId w:val="86"/>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检验内容：绿色教育宣传和实践机制，编制绿色设施使用手册。</w:t>
      </w:r>
    </w:p>
    <w:p>
      <w:pPr>
        <w:widowControl w:val="0"/>
        <w:numPr>
          <w:ilvl w:val="0"/>
          <w:numId w:val="86"/>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val="0"/>
        <w:numPr>
          <w:ilvl w:val="0"/>
          <w:numId w:val="87"/>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查阅绿色教育宣传、实践机制、绿色设施使用手册和照片相关文件；</w:t>
      </w:r>
    </w:p>
    <w:p>
      <w:pPr>
        <w:widowControl w:val="0"/>
        <w:numPr>
          <w:ilvl w:val="0"/>
          <w:numId w:val="87"/>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结合深圳市《绿色物业管理项目评价标准》（SJG 50-2022）的相关要求，</w:t>
      </w:r>
    </w:p>
    <w:p>
      <w:pPr>
        <w:widowControl w:val="0"/>
        <w:numPr>
          <w:ilvl w:val="-1"/>
          <w:numId w:val="0"/>
        </w:numPr>
        <w:adjustRightInd w:val="0"/>
        <w:spacing w:line="360" w:lineRule="auto"/>
        <w:ind w:left="766" w:leftChars="365" w:firstLine="0" w:firstLineChars="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现场核查绿色教育宣传的工作记录与报道记录，包括宣传内容、宣传方式、参与人员数量等；</w:t>
      </w:r>
    </w:p>
    <w:p>
      <w:pPr>
        <w:widowControl w:val="0"/>
        <w:numPr>
          <w:ilvl w:val="0"/>
          <w:numId w:val="87"/>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现场核查绿色设施使用手册与项目实际情况的符合度、内容完整性和是</w:t>
      </w:r>
    </w:p>
    <w:p>
      <w:pPr>
        <w:widowControl w:val="0"/>
        <w:numPr>
          <w:ilvl w:val="-1"/>
          <w:numId w:val="0"/>
        </w:numPr>
        <w:adjustRightInd w:val="0"/>
        <w:spacing w:line="360" w:lineRule="auto"/>
        <w:ind w:left="766" w:leftChars="365" w:firstLine="0" w:firstLineChars="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否便于理解和使用，核查建筑业主和使用人对该绿色建筑或绿色物业有关内容的知晓率。</w:t>
      </w:r>
    </w:p>
    <w:p>
      <w:pPr>
        <w:widowControl w:val="0"/>
        <w:numPr>
          <w:ilvl w:val="0"/>
          <w:numId w:val="87"/>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现场核查调查问卷、满意度调查结果统计表、改进报告等。</w:t>
      </w:r>
    </w:p>
    <w:p>
      <w:pPr>
        <w:widowControl w:val="0"/>
        <w:numPr>
          <w:ilvl w:val="0"/>
          <w:numId w:val="86"/>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检验成果：绿色教育宣传和实践机制运行检验报告。</w:t>
      </w:r>
    </w:p>
    <w:p>
      <w:pPr>
        <w:spacing w:line="360" w:lineRule="auto"/>
        <w:ind w:firstLine="480" w:firstLineChars="200"/>
        <w:jc w:val="both"/>
        <w:rPr>
          <w:rFonts w:ascii="Times New Roman" w:hAnsi="Times New Roman" w:cs="Times New Roman"/>
          <w:i/>
          <w:sz w:val="24"/>
          <w:szCs w:val="24"/>
        </w:rPr>
      </w:pPr>
    </w:p>
    <w:p>
      <w:pPr>
        <w:spacing w:line="360" w:lineRule="auto"/>
        <w:ind w:firstLine="480" w:firstLineChars="200"/>
        <w:rPr>
          <w:i/>
          <w:sz w:val="24"/>
        </w:rPr>
        <w:sectPr>
          <w:pgSz w:w="11906" w:h="16838"/>
          <w:pgMar w:top="1440" w:right="1800" w:bottom="1440" w:left="1800" w:header="851" w:footer="992" w:gutter="0"/>
          <w:pgNumType w:fmt="decimal"/>
          <w:cols w:space="720" w:num="1"/>
          <w:docGrid w:type="lines" w:linePitch="312" w:charSpace="0"/>
        </w:sectPr>
      </w:pPr>
    </w:p>
    <w:p>
      <w:pPr>
        <w:keepNext/>
        <w:keepLines/>
        <w:widowControl w:val="0"/>
        <w:numPr>
          <w:ilvl w:val="0"/>
          <w:numId w:val="0"/>
        </w:numPr>
        <w:spacing w:before="340" w:after="330" w:line="578" w:lineRule="auto"/>
        <w:ind w:left="425" w:leftChars="0" w:hanging="425" w:firstLineChars="0"/>
        <w:jc w:val="center"/>
        <w:outlineLvl w:val="0"/>
        <w:rPr>
          <w:rFonts w:ascii="Times New Roman" w:hAnsi="Times New Roman" w:eastAsia="宋体" w:cs="Times New Roman"/>
          <w:b/>
          <w:bCs/>
          <w:kern w:val="44"/>
          <w:sz w:val="28"/>
          <w:szCs w:val="28"/>
          <w:lang w:val="en-US" w:eastAsia="zh-CN" w:bidi="ar-SA"/>
        </w:rPr>
      </w:pPr>
      <w:bookmarkStart w:id="58" w:name="_Toc204157428"/>
      <w:r>
        <w:rPr>
          <w:rFonts w:hint="eastAsia" w:ascii="Times New Roman" w:hAnsi="Times New Roman" w:eastAsia="宋体" w:cs="Times New Roman"/>
          <w:b/>
          <w:bCs/>
          <w:kern w:val="44"/>
          <w:sz w:val="28"/>
          <w:szCs w:val="28"/>
          <w:lang w:val="en-US" w:eastAsia="zh-CN" w:bidi="ar-SA"/>
        </w:rPr>
        <w:t>7</w:t>
      </w:r>
      <w:r>
        <w:rPr>
          <w:rFonts w:ascii="Times New Roman" w:hAnsi="Times New Roman" w:eastAsia="宋体" w:cs="Times New Roman"/>
          <w:b/>
          <w:bCs/>
          <w:kern w:val="44"/>
          <w:sz w:val="28"/>
          <w:szCs w:val="28"/>
          <w:lang w:val="en-US" w:eastAsia="zh-CN" w:bidi="ar-SA"/>
        </w:rPr>
        <w:t>资源节约</w:t>
      </w:r>
      <w:bookmarkEnd w:id="58"/>
    </w:p>
    <w:p>
      <w:pPr>
        <w:widowControl w:val="0"/>
        <w:numPr>
          <w:ilvl w:val="1"/>
          <w:numId w:val="0"/>
        </w:numPr>
        <w:spacing w:before="312" w:beforeLines="100" w:after="0" w:line="360" w:lineRule="auto"/>
        <w:ind w:left="567" w:leftChars="0" w:hanging="567" w:firstLineChars="0"/>
        <w:jc w:val="center"/>
        <w:outlineLvl w:val="1"/>
        <w:rPr>
          <w:rFonts w:ascii="Times New Roman" w:hAnsi="Times New Roman" w:eastAsia="黑体" w:cs="Times New Roman"/>
          <w:b/>
          <w:bCs/>
          <w:kern w:val="28"/>
          <w:sz w:val="24"/>
          <w:szCs w:val="32"/>
          <w:lang w:val="zh-CN" w:eastAsia="zh-CN" w:bidi="ar-SA"/>
        </w:rPr>
      </w:pPr>
      <w:bookmarkStart w:id="59" w:name="_Toc204157429"/>
      <w:r>
        <w:rPr>
          <w:rFonts w:hint="default" w:ascii="Times New Roman" w:hAnsi="Times New Roman" w:eastAsia="黑体" w:cs="Times New Roman"/>
          <w:b/>
          <w:bCs/>
          <w:kern w:val="28"/>
          <w:sz w:val="24"/>
          <w:szCs w:val="32"/>
          <w:lang w:val="zh-CN" w:eastAsia="zh-CN" w:bidi="ar-SA"/>
        </w:rPr>
        <w:t>7.1</w:t>
      </w:r>
      <w:r>
        <w:rPr>
          <w:rFonts w:ascii="Times New Roman" w:hAnsi="Times New Roman" w:eastAsia="黑体" w:cs="Times New Roman"/>
          <w:b/>
          <w:bCs/>
          <w:kern w:val="28"/>
          <w:sz w:val="24"/>
          <w:szCs w:val="32"/>
          <w:lang w:val="zh-CN" w:eastAsia="zh-CN" w:bidi="ar-SA"/>
        </w:rPr>
        <w:t>节能与能源利用</w:t>
      </w:r>
      <w:bookmarkEnd w:id="59"/>
    </w:p>
    <w:p>
      <w:pPr>
        <w:widowControl w:val="0"/>
        <w:numPr>
          <w:ilvl w:val="2"/>
          <w:numId w:val="0"/>
        </w:numPr>
        <w:spacing w:before="0" w:after="0" w:line="360" w:lineRule="auto"/>
        <w:jc w:val="both"/>
        <w:outlineLvl w:val="9"/>
        <w:rPr>
          <w:rFonts w:ascii="Times New Roman" w:hAnsi="Times New Roman" w:eastAsia="宋体" w:cs="Times New Roman"/>
          <w:b w:val="0"/>
          <w:bCs w:val="0"/>
          <w:kern w:val="28"/>
          <w:sz w:val="24"/>
          <w:szCs w:val="32"/>
          <w:lang w:val="zh-CN" w:eastAsia="zh-CN" w:bidi="ar-SA"/>
        </w:rPr>
      </w:pPr>
      <w:r>
        <w:rPr>
          <w:rFonts w:hint="default" w:ascii="Times New Roman" w:hAnsi="Times New Roman" w:eastAsia="宋体" w:cs="Times New Roman"/>
          <w:b/>
          <w:bCs w:val="0"/>
          <w:color w:val="auto"/>
          <w:kern w:val="28"/>
          <w:sz w:val="24"/>
          <w:szCs w:val="24"/>
          <w:lang w:val="zh-CN" w:eastAsia="zh-CN" w:bidi="ar-SA"/>
        </w:rPr>
        <w:t>7.1.1</w:t>
      </w:r>
      <w:r>
        <w:rPr>
          <w:rFonts w:hint="eastAsia" w:cs="Times New Roman"/>
          <w:b/>
          <w:bCs w:val="0"/>
          <w:color w:val="auto"/>
          <w:kern w:val="28"/>
          <w:sz w:val="24"/>
          <w:szCs w:val="24"/>
          <w:lang w:val="en-US" w:eastAsia="zh-CN" w:bidi="ar-SA"/>
        </w:rPr>
        <w:t xml:space="preserve">   </w:t>
      </w:r>
      <w:r>
        <w:rPr>
          <w:rFonts w:ascii="Times New Roman" w:hAnsi="Times New Roman" w:eastAsia="宋体" w:cs="Times New Roman"/>
          <w:b w:val="0"/>
          <w:bCs w:val="0"/>
          <w:kern w:val="28"/>
          <w:sz w:val="24"/>
          <w:szCs w:val="28"/>
          <w:lang w:val="zh-CN" w:eastAsia="zh-CN" w:bidi="ar-SA"/>
        </w:rPr>
        <w:t>围护结构传热系数的检验应符合下列规定：</w:t>
      </w:r>
    </w:p>
    <w:p>
      <w:pPr>
        <w:widowControl w:val="0"/>
        <w:numPr>
          <w:ilvl w:val="0"/>
          <w:numId w:val="88"/>
        </w:numPr>
        <w:spacing w:before="0" w:after="0" w:line="360" w:lineRule="auto"/>
        <w:ind w:left="0" w:firstLine="480" w:firstLineChars="200"/>
        <w:jc w:val="both"/>
        <w:outlineLvl w:val="9"/>
        <w:rPr>
          <w:rFonts w:ascii="Times New Roman" w:hAnsi="Times New Roman" w:eastAsia="宋体" w:cs="Times New Roman"/>
          <w:b w:val="0"/>
          <w:bCs w:val="0"/>
          <w:kern w:val="28"/>
          <w:sz w:val="24"/>
          <w:szCs w:val="32"/>
          <w:lang w:val="zh-CN" w:eastAsia="zh-CN" w:bidi="ar-SA"/>
        </w:rPr>
      </w:pPr>
      <w:r>
        <w:rPr>
          <w:rFonts w:ascii="Times New Roman" w:hAnsi="Times New Roman" w:eastAsia="宋体" w:cs="Times New Roman"/>
          <w:b w:val="0"/>
          <w:bCs w:val="0"/>
          <w:kern w:val="28"/>
          <w:sz w:val="24"/>
          <w:szCs w:val="28"/>
          <w:lang w:val="zh-CN" w:eastAsia="zh-CN" w:bidi="ar-SA"/>
        </w:rPr>
        <w:t>检验内容：屋顶、外墙、楼板、天窗、外窗的传热系数。</w:t>
      </w:r>
    </w:p>
    <w:p>
      <w:pPr>
        <w:widowControl w:val="0"/>
        <w:numPr>
          <w:ilvl w:val="0"/>
          <w:numId w:val="88"/>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val="0"/>
        <w:numPr>
          <w:ilvl w:val="0"/>
          <w:numId w:val="89"/>
        </w:numPr>
        <w:adjustRightInd w:val="0"/>
        <w:spacing w:line="360" w:lineRule="auto"/>
        <w:ind w:left="0" w:firstLine="567"/>
        <w:jc w:val="both"/>
        <w:outlineLvl w:val="9"/>
        <w:rPr>
          <w:rFonts w:ascii="Times New Roman" w:hAnsi="Times New Roman" w:cs="Times New Roman"/>
          <w:bCs/>
          <w:sz w:val="24"/>
          <w:szCs w:val="24"/>
        </w:rPr>
      </w:pPr>
      <w:r>
        <w:rPr>
          <w:rFonts w:ascii="Times New Roman" w:hAnsi="Times New Roman" w:cs="Times New Roman"/>
          <w:bCs/>
          <w:sz w:val="24"/>
          <w:szCs w:val="24"/>
        </w:rPr>
        <w:t>现场核查</w:t>
      </w:r>
      <w:r>
        <w:rPr>
          <w:rFonts w:ascii="Times New Roman" w:hAnsi="Times New Roman" w:cs="Times New Roman"/>
          <w:bCs/>
          <w:sz w:val="24"/>
          <w:szCs w:val="24"/>
          <w:lang w:bidi="ar-SA"/>
        </w:rPr>
        <w:t>围护结构材料的选用与</w:t>
      </w:r>
      <w:r>
        <w:rPr>
          <w:rFonts w:ascii="Times New Roman" w:hAnsi="Times New Roman" w:cs="Times New Roman"/>
          <w:bCs/>
          <w:sz w:val="24"/>
          <w:szCs w:val="24"/>
        </w:rPr>
        <w:t>施工图文件、第三方检测报告和竣工验</w:t>
      </w:r>
    </w:p>
    <w:p>
      <w:pPr>
        <w:widowControl w:val="0"/>
        <w:numPr>
          <w:ilvl w:val="-1"/>
          <w:numId w:val="0"/>
        </w:numPr>
        <w:adjustRightInd w:val="0"/>
        <w:spacing w:line="360" w:lineRule="auto"/>
        <w:ind w:left="567" w:firstLine="240" w:firstLineChars="100"/>
        <w:jc w:val="both"/>
        <w:outlineLvl w:val="9"/>
        <w:rPr>
          <w:rFonts w:ascii="Times New Roman" w:hAnsi="Times New Roman" w:cs="Times New Roman"/>
          <w:bCs/>
          <w:sz w:val="24"/>
          <w:szCs w:val="24"/>
        </w:rPr>
      </w:pPr>
      <w:r>
        <w:rPr>
          <w:rFonts w:ascii="Times New Roman" w:hAnsi="Times New Roman" w:cs="Times New Roman"/>
          <w:bCs/>
          <w:sz w:val="24"/>
          <w:szCs w:val="24"/>
        </w:rPr>
        <w:t>收文件；</w:t>
      </w:r>
    </w:p>
    <w:p>
      <w:pPr>
        <w:widowControl w:val="0"/>
        <w:numPr>
          <w:ilvl w:val="0"/>
          <w:numId w:val="89"/>
        </w:numPr>
        <w:adjustRightInd w:val="0"/>
        <w:spacing w:line="360" w:lineRule="auto"/>
        <w:ind w:left="0" w:firstLine="567"/>
        <w:jc w:val="both"/>
        <w:outlineLvl w:val="9"/>
        <w:rPr>
          <w:rFonts w:ascii="Times New Roman" w:hAnsi="Times New Roman" w:cs="Times New Roman"/>
          <w:bCs/>
          <w:sz w:val="24"/>
          <w:szCs w:val="24"/>
        </w:rPr>
      </w:pPr>
      <w:r>
        <w:rPr>
          <w:rFonts w:ascii="Times New Roman" w:hAnsi="Times New Roman" w:cs="Times New Roman"/>
          <w:bCs/>
          <w:sz w:val="24"/>
          <w:szCs w:val="24"/>
        </w:rPr>
        <w:t>现场核查与施工图文件、第三方检测报告和竣工验收文件</w:t>
      </w:r>
      <w:r>
        <w:rPr>
          <w:rFonts w:ascii="Times New Roman" w:hAnsi="Times New Roman" w:cs="Times New Roman"/>
          <w:bCs/>
          <w:sz w:val="24"/>
          <w:szCs w:val="24"/>
          <w:lang w:bidi="ar-SA"/>
        </w:rPr>
        <w:t>明显不符或不</w:t>
      </w:r>
    </w:p>
    <w:p>
      <w:pPr>
        <w:widowControl w:val="0"/>
        <w:numPr>
          <w:ilvl w:val="-1"/>
          <w:numId w:val="0"/>
        </w:numPr>
        <w:adjustRightInd w:val="0"/>
        <w:spacing w:line="360" w:lineRule="auto"/>
        <w:ind w:left="567" w:firstLine="240" w:firstLineChars="100"/>
        <w:jc w:val="both"/>
        <w:outlineLvl w:val="9"/>
        <w:rPr>
          <w:rFonts w:ascii="Times New Roman" w:hAnsi="Times New Roman" w:cs="Times New Roman"/>
          <w:bCs/>
          <w:sz w:val="24"/>
          <w:szCs w:val="24"/>
        </w:rPr>
      </w:pPr>
      <w:r>
        <w:rPr>
          <w:rFonts w:ascii="Times New Roman" w:hAnsi="Times New Roman" w:cs="Times New Roman"/>
          <w:bCs/>
          <w:sz w:val="24"/>
          <w:szCs w:val="24"/>
          <w:lang w:bidi="ar-SA"/>
        </w:rPr>
        <w:t>能提供上述证明文件的应进行检测</w:t>
      </w:r>
      <w:r>
        <w:rPr>
          <w:rFonts w:ascii="Times New Roman" w:hAnsi="Times New Roman" w:cs="Times New Roman"/>
          <w:bCs/>
          <w:sz w:val="24"/>
          <w:szCs w:val="24"/>
        </w:rPr>
        <w:t>；</w:t>
      </w:r>
    </w:p>
    <w:p>
      <w:pPr>
        <w:widowControl w:val="0"/>
        <w:numPr>
          <w:ilvl w:val="0"/>
          <w:numId w:val="89"/>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检测方法应符合现行行业标准《居住建筑节能检测标准》JGJ/T 132、《公</w:t>
      </w:r>
    </w:p>
    <w:p>
      <w:pPr>
        <w:widowControl w:val="0"/>
        <w:numPr>
          <w:ilvl w:val="-1"/>
          <w:numId w:val="0"/>
        </w:numPr>
        <w:adjustRightInd w:val="0"/>
        <w:spacing w:line="360" w:lineRule="auto"/>
        <w:ind w:left="766" w:leftChars="365" w:firstLine="0" w:firstLineChars="0"/>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共建筑节能检测标准》JGJ/T 177 或《围护结构传热系数现场检测技术规程》JGJ/T 357 的规定。</w:t>
      </w:r>
    </w:p>
    <w:p>
      <w:pPr>
        <w:widowControl w:val="0"/>
        <w:numPr>
          <w:ilvl w:val="0"/>
          <w:numId w:val="88"/>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检验成果：建筑围护结构传热系数检验报告。</w:t>
      </w:r>
    </w:p>
    <w:p>
      <w:pPr>
        <w:widowControl w:val="0"/>
        <w:numPr>
          <w:ilvl w:val="2"/>
          <w:numId w:val="0"/>
        </w:numPr>
        <w:spacing w:before="0" w:after="0" w:line="360" w:lineRule="auto"/>
        <w:jc w:val="both"/>
        <w:outlineLvl w:val="9"/>
        <w:rPr>
          <w:rFonts w:ascii="Times New Roman" w:hAnsi="Times New Roman" w:eastAsia="宋体" w:cs="Times New Roman"/>
          <w:b/>
          <w:bCs/>
          <w:kern w:val="28"/>
          <w:sz w:val="24"/>
          <w:szCs w:val="28"/>
          <w:lang w:val="zh-CN" w:eastAsia="zh-CN" w:bidi="ar-SA"/>
        </w:rPr>
      </w:pPr>
      <w:r>
        <w:rPr>
          <w:rFonts w:hint="default" w:ascii="Times New Roman" w:hAnsi="Times New Roman" w:eastAsia="宋体" w:cs="Times New Roman"/>
          <w:b/>
          <w:bCs/>
          <w:color w:val="auto"/>
          <w:kern w:val="28"/>
          <w:sz w:val="24"/>
          <w:szCs w:val="24"/>
          <w:lang w:val="zh-CN" w:eastAsia="zh-CN" w:bidi="ar-SA"/>
        </w:rPr>
        <w:t>7.1.2</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空调冷（热）水系统耗电输冷（热）比的检验应符合下列规定：</w:t>
      </w:r>
    </w:p>
    <w:p>
      <w:pPr>
        <w:widowControl w:val="0"/>
        <w:numPr>
          <w:ilvl w:val="0"/>
          <w:numId w:val="90"/>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检验内容：循环泵输入功率、冷（热）水系统流量和供回水温差。</w:t>
      </w:r>
    </w:p>
    <w:p>
      <w:pPr>
        <w:widowControl w:val="0"/>
        <w:numPr>
          <w:ilvl w:val="0"/>
          <w:numId w:val="90"/>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val="0"/>
        <w:numPr>
          <w:ilvl w:val="0"/>
          <w:numId w:val="91"/>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应符合现行行业标准《公共建筑节能检测标准》JGJ/T 177 的规定；</w:t>
      </w:r>
    </w:p>
    <w:p>
      <w:pPr>
        <w:widowControl w:val="0"/>
        <w:numPr>
          <w:ilvl w:val="0"/>
          <w:numId w:val="91"/>
        </w:numPr>
        <w:adjustRightInd w:val="0"/>
        <w:spacing w:line="360" w:lineRule="auto"/>
        <w:ind w:left="0" w:firstLine="567"/>
        <w:jc w:val="both"/>
        <w:outlineLvl w:val="9"/>
        <w:rPr>
          <w:rFonts w:ascii="Times New Roman" w:hAnsi="Times New Roman" w:cs="Times New Roman"/>
          <w:bCs/>
          <w:sz w:val="24"/>
          <w:szCs w:val="24"/>
        </w:rPr>
      </w:pPr>
      <w:r>
        <w:rPr>
          <w:rFonts w:ascii="Times New Roman" w:hAnsi="Times New Roman" w:cs="Times New Roman"/>
          <w:bCs/>
          <w:sz w:val="24"/>
          <w:szCs w:val="24"/>
          <w:lang w:bidi="ar-SA"/>
        </w:rPr>
        <w:t>现场核查循环泵输入功率、冷（热）水系统流量和供回水温差</w:t>
      </w:r>
      <w:r>
        <w:rPr>
          <w:rFonts w:ascii="Times New Roman" w:hAnsi="Times New Roman" w:cs="Times New Roman"/>
          <w:bCs/>
          <w:sz w:val="24"/>
          <w:szCs w:val="24"/>
          <w:lang w:eastAsia="zh-CN" w:bidi="ar-SA"/>
        </w:rPr>
        <w:t>；</w:t>
      </w:r>
    </w:p>
    <w:p>
      <w:pPr>
        <w:widowControl w:val="0"/>
        <w:numPr>
          <w:ilvl w:val="0"/>
          <w:numId w:val="91"/>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 xml:space="preserve">空调冷（热）水系统的耗电输冷（热）比应按下式计算： </w:t>
      </w:r>
    </w:p>
    <w:p>
      <w:pPr>
        <w:spacing w:line="360" w:lineRule="auto"/>
        <w:jc w:val="center"/>
        <w:rPr>
          <w:rFonts w:ascii="Times New Roman" w:hAnsi="Times New Roman" w:cs="Times New Roman"/>
          <w:sz w:val="24"/>
          <w:szCs w:val="28"/>
        </w:rPr>
      </w:pPr>
      <w:r>
        <w:rPr>
          <w:rFonts w:ascii="Times New Roman" w:hAnsi="Times New Roman" w:cs="Times New Roman"/>
          <w:sz w:val="24"/>
          <w:szCs w:val="28"/>
        </w:rPr>
        <w:t>Q=VρcΔt/3600</w:t>
      </w:r>
    </w:p>
    <w:p>
      <w:pPr>
        <w:spacing w:line="360" w:lineRule="auto"/>
        <w:jc w:val="center"/>
        <w:rPr>
          <w:rFonts w:ascii="Times New Roman" w:hAnsi="Times New Roman" w:cs="Times New Roman"/>
          <w:sz w:val="24"/>
          <w:szCs w:val="28"/>
        </w:rPr>
      </w:pPr>
      <w:r>
        <w:rPr>
          <w:rFonts w:ascii="Times New Roman" w:hAnsi="Times New Roman" w:cs="Times New Roman"/>
          <w:sz w:val="24"/>
          <w:szCs w:val="28"/>
        </w:rPr>
        <w:t>EC(H)R=N/Q</w:t>
      </w:r>
    </w:p>
    <w:p>
      <w:pPr>
        <w:spacing w:line="360" w:lineRule="auto"/>
        <w:jc w:val="both"/>
        <w:rPr>
          <w:rFonts w:ascii="Times New Roman" w:hAnsi="Times New Roman" w:cs="Times New Roman"/>
          <w:sz w:val="24"/>
          <w:szCs w:val="28"/>
        </w:rPr>
      </w:pPr>
      <w:r>
        <w:rPr>
          <w:rFonts w:ascii="Times New Roman" w:hAnsi="Times New Roman" w:cs="Times New Roman"/>
          <w:sz w:val="24"/>
          <w:szCs w:val="28"/>
        </w:rPr>
        <w:t>式中：EC（H）R——空调冷（热）水系统耗电输冷（热）比（kW/kW）；</w:t>
      </w:r>
    </w:p>
    <w:p>
      <w:pPr>
        <w:spacing w:line="360" w:lineRule="auto"/>
        <w:ind w:firstLine="1680" w:firstLineChars="700"/>
        <w:jc w:val="left"/>
        <w:rPr>
          <w:rFonts w:ascii="Times New Roman" w:hAnsi="Times New Roman" w:cs="Times New Roman"/>
          <w:sz w:val="24"/>
          <w:szCs w:val="28"/>
        </w:rPr>
      </w:pPr>
      <w:r>
        <w:rPr>
          <w:rFonts w:ascii="Times New Roman" w:hAnsi="Times New Roman" w:cs="Times New Roman"/>
          <w:sz w:val="24"/>
          <w:szCs w:val="28"/>
        </w:rPr>
        <w:t>Q——系统总冷（热）量（kW）；</w:t>
      </w:r>
    </w:p>
    <w:p>
      <w:pPr>
        <w:spacing w:line="360" w:lineRule="auto"/>
        <w:ind w:firstLine="1680" w:firstLineChars="700"/>
        <w:jc w:val="left"/>
        <w:rPr>
          <w:rFonts w:ascii="Times New Roman" w:hAnsi="Times New Roman" w:cs="Times New Roman"/>
          <w:sz w:val="24"/>
          <w:szCs w:val="28"/>
        </w:rPr>
      </w:pPr>
      <w:r>
        <w:rPr>
          <w:rFonts w:ascii="Times New Roman" w:hAnsi="Times New Roman" w:cs="Times New Roman"/>
          <w:sz w:val="24"/>
          <w:szCs w:val="28"/>
        </w:rPr>
        <w:t>N——系统循环泵的总输入功率（kW）；</w:t>
      </w:r>
    </w:p>
    <w:p>
      <w:pPr>
        <w:spacing w:line="360" w:lineRule="auto"/>
        <w:ind w:firstLine="1680" w:firstLineChars="700"/>
        <w:jc w:val="left"/>
        <w:rPr>
          <w:rFonts w:ascii="Times New Roman" w:hAnsi="Times New Roman" w:cs="Times New Roman"/>
          <w:sz w:val="24"/>
          <w:szCs w:val="28"/>
        </w:rPr>
      </w:pPr>
      <w:r>
        <w:rPr>
          <w:rFonts w:ascii="Times New Roman" w:hAnsi="Times New Roman" w:cs="Times New Roman"/>
          <w:sz w:val="24"/>
          <w:szCs w:val="28"/>
        </w:rPr>
        <w:t>V——系统循环水平均流量（m³/h）；</w:t>
      </w:r>
    </w:p>
    <w:p>
      <w:pPr>
        <w:spacing w:line="360" w:lineRule="auto"/>
        <w:ind w:firstLine="1680" w:firstLineChars="700"/>
        <w:jc w:val="left"/>
        <w:rPr>
          <w:rFonts w:ascii="Times New Roman" w:hAnsi="Times New Roman" w:cs="Times New Roman"/>
          <w:sz w:val="24"/>
          <w:szCs w:val="28"/>
        </w:rPr>
      </w:pPr>
      <w:r>
        <w:rPr>
          <w:rFonts w:ascii="Times New Roman" w:hAnsi="Times New Roman" w:cs="Times New Roman"/>
          <w:sz w:val="24"/>
          <w:szCs w:val="28"/>
        </w:rPr>
        <w:t>Δt——系统供回水平均温差（ºC）；</w:t>
      </w:r>
    </w:p>
    <w:p>
      <w:pPr>
        <w:spacing w:line="360" w:lineRule="auto"/>
        <w:ind w:firstLine="1680" w:firstLineChars="700"/>
        <w:jc w:val="left"/>
        <w:rPr>
          <w:rFonts w:ascii="Times New Roman" w:hAnsi="Times New Roman" w:cs="Times New Roman"/>
          <w:sz w:val="24"/>
          <w:szCs w:val="28"/>
        </w:rPr>
      </w:pPr>
      <w:r>
        <w:rPr>
          <w:rFonts w:ascii="Times New Roman" w:hAnsi="Times New Roman" w:cs="Times New Roman"/>
          <w:sz w:val="24"/>
          <w:szCs w:val="28"/>
        </w:rPr>
        <w:t>ρ——系统循环水平均密度，[kg/m3]；</w:t>
      </w:r>
    </w:p>
    <w:p>
      <w:pPr>
        <w:spacing w:line="360" w:lineRule="auto"/>
        <w:ind w:firstLine="1680" w:firstLineChars="700"/>
        <w:jc w:val="left"/>
        <w:rPr>
          <w:rFonts w:ascii="Times New Roman" w:hAnsi="Times New Roman" w:cs="Times New Roman"/>
          <w:sz w:val="24"/>
          <w:szCs w:val="28"/>
        </w:rPr>
      </w:pPr>
      <w:r>
        <w:rPr>
          <w:rFonts w:ascii="Times New Roman" w:hAnsi="Times New Roman" w:cs="Times New Roman"/>
          <w:sz w:val="24"/>
          <w:szCs w:val="28"/>
        </w:rPr>
        <w:t>c——系统循环水平均定压比热容，[kJ/(kg·ºC)]。</w:t>
      </w:r>
    </w:p>
    <w:p>
      <w:pPr>
        <w:widowControl w:val="0"/>
        <w:numPr>
          <w:ilvl w:val="0"/>
          <w:numId w:val="90"/>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检验成果：空调冷（热）水系统耗电输冷（热）比检验报告。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7.1.3</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冷源系统能效系数（EER-sys）的检验应符合下列规定：</w:t>
      </w:r>
    </w:p>
    <w:p>
      <w:pPr>
        <w:widowControl w:val="0"/>
        <w:numPr>
          <w:ilvl w:val="0"/>
          <w:numId w:val="92"/>
        </w:numPr>
        <w:spacing w:before="0" w:after="0" w:line="360" w:lineRule="auto"/>
        <w:ind w:left="0" w:firstLine="480" w:firstLineChars="200"/>
        <w:jc w:val="both"/>
        <w:outlineLvl w:val="9"/>
        <w:rPr>
          <w:rFonts w:ascii="Times New Roman" w:hAnsi="Times New Roman" w:eastAsia="宋体" w:cs="Times New Roman"/>
          <w:b w:val="0"/>
          <w:bCs w:val="0"/>
          <w:kern w:val="28"/>
          <w:sz w:val="24"/>
          <w:szCs w:val="32"/>
          <w:lang w:val="zh-CN" w:eastAsia="zh-CN" w:bidi="ar-SA"/>
        </w:rPr>
      </w:pPr>
      <w:r>
        <w:rPr>
          <w:rFonts w:ascii="Times New Roman" w:hAnsi="Times New Roman" w:eastAsia="宋体" w:cs="Times New Roman"/>
          <w:b w:val="0"/>
          <w:bCs w:val="0"/>
          <w:kern w:val="28"/>
          <w:sz w:val="24"/>
          <w:szCs w:val="32"/>
          <w:lang w:val="zh-CN" w:eastAsia="zh-CN" w:bidi="ar-SA"/>
        </w:rPr>
        <w:t>检验内容：冷水机组、冷水泵、冷却水泵和冷却塔风机的输入功率、冷水系统流量和供回水温差。</w:t>
      </w:r>
    </w:p>
    <w:p>
      <w:pPr>
        <w:widowControl w:val="0"/>
        <w:numPr>
          <w:ilvl w:val="0"/>
          <w:numId w:val="92"/>
        </w:numPr>
        <w:spacing w:before="0" w:after="0" w:line="360" w:lineRule="auto"/>
        <w:ind w:left="0" w:firstLine="480" w:firstLineChars="200"/>
        <w:jc w:val="both"/>
        <w:outlineLvl w:val="9"/>
        <w:rPr>
          <w:rFonts w:ascii="Times New Roman" w:hAnsi="Times New Roman" w:eastAsia="宋体" w:cs="Times New Roman"/>
          <w:b w:val="0"/>
          <w:bCs w:val="0"/>
          <w:kern w:val="28"/>
          <w:sz w:val="24"/>
          <w:szCs w:val="32"/>
          <w:lang w:val="zh-CN" w:eastAsia="zh-CN" w:bidi="ar-SA"/>
        </w:rPr>
      </w:pPr>
      <w:r>
        <w:rPr>
          <w:rFonts w:ascii="Times New Roman" w:hAnsi="Times New Roman" w:eastAsia="宋体" w:cs="Times New Roman"/>
          <w:b w:val="0"/>
          <w:bCs w:val="0"/>
          <w:kern w:val="28"/>
          <w:sz w:val="24"/>
          <w:szCs w:val="32"/>
          <w:lang w:val="zh-CN" w:eastAsia="zh-CN" w:bidi="ar-SA"/>
        </w:rPr>
        <w:t>检验方法：</w:t>
      </w:r>
    </w:p>
    <w:p>
      <w:pPr>
        <w:widowControl w:val="0"/>
        <w:numPr>
          <w:ilvl w:val="0"/>
          <w:numId w:val="93"/>
        </w:numPr>
        <w:adjustRightInd w:val="0"/>
        <w:spacing w:line="360" w:lineRule="auto"/>
        <w:ind w:left="0" w:firstLine="567"/>
        <w:jc w:val="both"/>
        <w:outlineLvl w:val="9"/>
        <w:rPr>
          <w:rFonts w:ascii="Times New Roman" w:hAnsi="Times New Roman" w:eastAsia="宋体" w:cs="Times New Roman"/>
          <w:bCs/>
          <w:kern w:val="2"/>
          <w:sz w:val="24"/>
          <w:szCs w:val="24"/>
          <w:lang w:val="en-US" w:eastAsia="zh-CN" w:bidi="ar-SA"/>
        </w:rPr>
      </w:pPr>
      <w:r>
        <w:rPr>
          <w:rFonts w:ascii="Times New Roman" w:hAnsi="Times New Roman" w:eastAsia="宋体" w:cs="Times New Roman"/>
          <w:bCs/>
          <w:kern w:val="2"/>
          <w:sz w:val="24"/>
          <w:szCs w:val="24"/>
          <w:lang w:val="en-US" w:eastAsia="zh-CN" w:bidi="ar-SA"/>
        </w:rPr>
        <w:t>应符合现行行业标准《公共建筑节能检测标准》JGJ/T 177 的规定；</w:t>
      </w:r>
    </w:p>
    <w:p>
      <w:pPr>
        <w:spacing w:line="240" w:lineRule="auto"/>
        <w:ind w:firstLine="480" w:firstLineChars="200"/>
        <w:jc w:val="left"/>
        <w:rPr>
          <w:rFonts w:hint="eastAsia" w:ascii="Times New Roman" w:hAnsi="Times New Roman" w:eastAsia="宋体" w:cs="Times New Roman"/>
          <w:sz w:val="24"/>
          <w:szCs w:val="28"/>
          <w:lang w:eastAsia="zh-CN"/>
        </w:rPr>
      </w:pPr>
      <w:r>
        <w:rPr>
          <w:rFonts w:ascii="Times New Roman" w:hAnsi="Times New Roman" w:cs="Times New Roman"/>
          <w:sz w:val="24"/>
          <w:szCs w:val="28"/>
        </w:rPr>
        <w:t>冷源系统的总供冷量 Q 应按下式计算</w:t>
      </w:r>
      <w:r>
        <w:rPr>
          <w:rFonts w:hint="eastAsia" w:cs="Times New Roman"/>
          <w:sz w:val="24"/>
          <w:szCs w:val="28"/>
          <w:lang w:eastAsia="zh-CN"/>
        </w:rPr>
        <w:t>：</w:t>
      </w:r>
    </w:p>
    <w:p>
      <w:pPr>
        <w:spacing w:line="240" w:lineRule="auto"/>
        <w:jc w:val="center"/>
        <w:rPr>
          <w:rFonts w:ascii="Times New Roman" w:hAnsi="Times New Roman" w:cs="Times New Roman"/>
          <w:sz w:val="24"/>
          <w:szCs w:val="28"/>
        </w:rPr>
      </w:pPr>
      <w:r>
        <w:rPr>
          <w:rFonts w:ascii="Times New Roman" w:hAnsi="Times New Roman" w:cs="Times New Roman"/>
          <w:sz w:val="24"/>
          <w:szCs w:val="28"/>
        </w:rPr>
        <w:t>Q=VρcΔt/3600</w:t>
      </w:r>
    </w:p>
    <w:p>
      <w:pPr>
        <w:spacing w:line="240" w:lineRule="auto"/>
        <w:jc w:val="center"/>
        <w:rPr>
          <w:rFonts w:ascii="Times New Roman" w:hAnsi="Times New Roman" w:cs="Times New Roman"/>
          <w:sz w:val="24"/>
          <w:szCs w:val="28"/>
        </w:rPr>
      </w:pPr>
      <w:r>
        <w:rPr>
          <w:rFonts w:ascii="Times New Roman" w:hAnsi="Times New Roman" w:cs="Times New Roman"/>
          <w:sz w:val="24"/>
          <w:szCs w:val="28"/>
        </w:rPr>
        <w:t>EC(H)R=N/Q</w:t>
      </w:r>
    </w:p>
    <w:p>
      <w:pPr>
        <w:spacing w:line="360" w:lineRule="auto"/>
        <w:jc w:val="both"/>
        <w:rPr>
          <w:rFonts w:ascii="Times New Roman" w:hAnsi="Times New Roman" w:cs="Times New Roman"/>
          <w:sz w:val="24"/>
          <w:szCs w:val="28"/>
        </w:rPr>
      </w:pPr>
      <w:r>
        <w:rPr>
          <w:rFonts w:ascii="Times New Roman" w:hAnsi="Times New Roman" w:cs="Times New Roman"/>
          <w:sz w:val="24"/>
          <w:szCs w:val="28"/>
        </w:rPr>
        <w:t>式中：EC（H）R——空调冷（热）水系统耗电输冷（热）比（kW/kW）；</w:t>
      </w:r>
    </w:p>
    <w:p>
      <w:pPr>
        <w:spacing w:line="360" w:lineRule="auto"/>
        <w:ind w:firstLine="1680" w:firstLineChars="700"/>
        <w:jc w:val="left"/>
        <w:rPr>
          <w:rFonts w:ascii="Times New Roman" w:hAnsi="Times New Roman" w:cs="Times New Roman"/>
          <w:sz w:val="24"/>
          <w:szCs w:val="28"/>
        </w:rPr>
      </w:pPr>
      <w:r>
        <w:rPr>
          <w:rFonts w:ascii="Times New Roman" w:hAnsi="Times New Roman" w:cs="Times New Roman"/>
          <w:sz w:val="24"/>
          <w:szCs w:val="28"/>
        </w:rPr>
        <w:t>Q——系统总冷（热）量（kW）；</w:t>
      </w:r>
    </w:p>
    <w:p>
      <w:pPr>
        <w:spacing w:line="360" w:lineRule="auto"/>
        <w:ind w:firstLine="1680" w:firstLineChars="700"/>
        <w:jc w:val="left"/>
        <w:rPr>
          <w:rFonts w:ascii="Times New Roman" w:hAnsi="Times New Roman" w:cs="Times New Roman"/>
          <w:sz w:val="24"/>
          <w:szCs w:val="28"/>
        </w:rPr>
      </w:pPr>
      <w:r>
        <w:rPr>
          <w:rFonts w:ascii="Times New Roman" w:hAnsi="Times New Roman" w:cs="Times New Roman"/>
          <w:sz w:val="24"/>
          <w:szCs w:val="28"/>
        </w:rPr>
        <w:t>N——系统循环泵的总输入功率（kW）；</w:t>
      </w:r>
    </w:p>
    <w:p>
      <w:pPr>
        <w:spacing w:line="360" w:lineRule="auto"/>
        <w:ind w:firstLine="1680" w:firstLineChars="700"/>
        <w:jc w:val="left"/>
        <w:rPr>
          <w:rFonts w:ascii="Times New Roman" w:hAnsi="Times New Roman" w:cs="Times New Roman"/>
          <w:sz w:val="24"/>
          <w:szCs w:val="28"/>
        </w:rPr>
      </w:pPr>
      <w:r>
        <w:rPr>
          <w:rFonts w:ascii="Times New Roman" w:hAnsi="Times New Roman" w:cs="Times New Roman"/>
          <w:sz w:val="24"/>
          <w:szCs w:val="28"/>
        </w:rPr>
        <w:t>V——系统循环水平均流量（m</w:t>
      </w:r>
      <w:r>
        <w:rPr>
          <w:rFonts w:ascii="Times New Roman" w:hAnsi="Times New Roman" w:cs="Times New Roman"/>
          <w:sz w:val="24"/>
          <w:szCs w:val="28"/>
          <w:vertAlign w:val="superscript"/>
        </w:rPr>
        <w:t>3</w:t>
      </w:r>
      <w:r>
        <w:rPr>
          <w:rFonts w:ascii="Times New Roman" w:hAnsi="Times New Roman" w:cs="Times New Roman"/>
          <w:sz w:val="24"/>
          <w:szCs w:val="28"/>
        </w:rPr>
        <w:t xml:space="preserve"> /h）；</w:t>
      </w:r>
    </w:p>
    <w:p>
      <w:pPr>
        <w:spacing w:line="360" w:lineRule="auto"/>
        <w:ind w:firstLine="1680" w:firstLineChars="700"/>
        <w:jc w:val="left"/>
        <w:rPr>
          <w:rFonts w:ascii="Times New Roman" w:hAnsi="Times New Roman" w:cs="Times New Roman"/>
          <w:sz w:val="24"/>
          <w:szCs w:val="28"/>
        </w:rPr>
      </w:pPr>
      <w:r>
        <w:rPr>
          <w:rFonts w:ascii="Times New Roman" w:hAnsi="Times New Roman" w:cs="Times New Roman"/>
          <w:sz w:val="24"/>
          <w:szCs w:val="28"/>
        </w:rPr>
        <w:t>Δt——系统供回水平均温差（ºC）；</w:t>
      </w:r>
    </w:p>
    <w:p>
      <w:pPr>
        <w:spacing w:line="360" w:lineRule="auto"/>
        <w:ind w:firstLine="1680" w:firstLineChars="700"/>
        <w:jc w:val="left"/>
        <w:rPr>
          <w:rFonts w:ascii="Times New Roman" w:hAnsi="Times New Roman" w:cs="Times New Roman"/>
          <w:sz w:val="24"/>
          <w:szCs w:val="28"/>
        </w:rPr>
      </w:pPr>
      <w:r>
        <w:rPr>
          <w:rFonts w:ascii="Times New Roman" w:hAnsi="Times New Roman" w:cs="Times New Roman"/>
          <w:sz w:val="24"/>
          <w:szCs w:val="28"/>
        </w:rPr>
        <w:t>ρ——系统循环水平均密度，[kg/m</w:t>
      </w:r>
      <w:r>
        <w:rPr>
          <w:rFonts w:ascii="Times New Roman" w:hAnsi="Times New Roman" w:cs="Times New Roman"/>
          <w:sz w:val="24"/>
          <w:szCs w:val="28"/>
          <w:vertAlign w:val="superscript"/>
        </w:rPr>
        <w:t>3</w:t>
      </w:r>
      <w:r>
        <w:rPr>
          <w:rFonts w:ascii="Times New Roman" w:hAnsi="Times New Roman" w:cs="Times New Roman"/>
          <w:sz w:val="24"/>
          <w:szCs w:val="28"/>
        </w:rPr>
        <w:t>]；</w:t>
      </w:r>
    </w:p>
    <w:p>
      <w:pPr>
        <w:widowControl w:val="0"/>
        <w:numPr>
          <w:ilvl w:val="0"/>
          <w:numId w:val="93"/>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SA"/>
        </w:rPr>
      </w:pPr>
      <w:r>
        <w:rPr>
          <w:rFonts w:ascii="Times New Roman" w:hAnsi="Times New Roman" w:eastAsia="宋体" w:cs="Times New Roman"/>
          <w:kern w:val="2"/>
          <w:sz w:val="24"/>
          <w:szCs w:val="28"/>
          <w:lang w:val="en-US" w:eastAsia="zh-CN" w:bidi="ar-SA"/>
        </w:rPr>
        <w:t>c——系统循环水平均定压比热容，[kJ/(kg·ºC)]。</w:t>
      </w:r>
    </w:p>
    <w:p>
      <w:pPr>
        <w:widowControl w:val="0"/>
        <w:numPr>
          <w:ilvl w:val="0"/>
          <w:numId w:val="93"/>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SA"/>
        </w:rPr>
      </w:pPr>
      <w:r>
        <w:rPr>
          <w:rFonts w:ascii="Times New Roman" w:hAnsi="Times New Roman" w:eastAsia="宋体" w:cs="Times New Roman"/>
          <w:kern w:val="2"/>
          <w:sz w:val="24"/>
          <w:szCs w:val="28"/>
          <w:lang w:val="en-US" w:eastAsia="zh-CN" w:bidi="ar-SA"/>
        </w:rPr>
        <w:t>冷源系统能效系数应按下式计算：</w:t>
      </w:r>
    </w:p>
    <w:p>
      <w:pPr>
        <w:spacing w:line="240" w:lineRule="auto"/>
        <w:jc w:val="center"/>
        <w:rPr>
          <w:rFonts w:ascii="Times New Roman" w:hAnsi="Times New Roman" w:cs="Times New Roman"/>
          <w:sz w:val="24"/>
          <w:szCs w:val="28"/>
        </w:rPr>
      </w:pPr>
      <w:r>
        <w:rPr>
          <w:rFonts w:ascii="Times New Roman" w:hAnsi="Times New Roman" w:cs="Times New Roman"/>
          <w:sz w:val="24"/>
          <w:szCs w:val="28"/>
        </w:rPr>
        <w:t>EER-sys=Q/ΣN</w:t>
      </w:r>
      <w:r>
        <w:rPr>
          <w:rFonts w:ascii="Times New Roman" w:hAnsi="Times New Roman" w:cs="Times New Roman"/>
          <w:sz w:val="24"/>
          <w:szCs w:val="28"/>
          <w:vertAlign w:val="subscript"/>
        </w:rPr>
        <w:t>i</w:t>
      </w:r>
    </w:p>
    <w:p>
      <w:pPr>
        <w:spacing w:line="360" w:lineRule="auto"/>
        <w:jc w:val="left"/>
        <w:rPr>
          <w:rFonts w:ascii="Times New Roman" w:hAnsi="Times New Roman" w:cs="Times New Roman"/>
          <w:sz w:val="24"/>
          <w:szCs w:val="28"/>
        </w:rPr>
      </w:pPr>
      <w:r>
        <w:rPr>
          <w:rFonts w:ascii="Times New Roman" w:hAnsi="Times New Roman" w:cs="Times New Roman"/>
          <w:sz w:val="24"/>
          <w:szCs w:val="28"/>
        </w:rPr>
        <w:t>式中：EER-sys——冷源系统能效系数（kW/kW）；</w:t>
      </w:r>
    </w:p>
    <w:p>
      <w:pPr>
        <w:spacing w:line="360" w:lineRule="auto"/>
        <w:ind w:firstLine="1440" w:firstLineChars="600"/>
        <w:jc w:val="left"/>
        <w:rPr>
          <w:rFonts w:ascii="Times New Roman" w:hAnsi="Times New Roman" w:cs="Times New Roman"/>
          <w:sz w:val="24"/>
          <w:szCs w:val="28"/>
        </w:rPr>
      </w:pPr>
      <w:r>
        <w:rPr>
          <w:rFonts w:ascii="Times New Roman" w:hAnsi="Times New Roman" w:cs="Times New Roman"/>
          <w:sz w:val="24"/>
          <w:szCs w:val="28"/>
        </w:rPr>
        <w:t>Q——冷源系统的总供冷量（kW）；</w:t>
      </w:r>
    </w:p>
    <w:p>
      <w:pPr>
        <w:widowControl w:val="0"/>
        <w:spacing w:line="360" w:lineRule="auto"/>
        <w:ind w:left="420" w:firstLine="720" w:firstLineChars="300"/>
        <w:jc w:val="both"/>
        <w:outlineLvl w:val="9"/>
        <w:rPr>
          <w:rFonts w:ascii="Times New Roman" w:hAnsi="Times New Roman" w:eastAsia="宋体" w:cs="Times New Roman"/>
          <w:kern w:val="2"/>
          <w:sz w:val="24"/>
          <w:szCs w:val="28"/>
          <w:lang w:val="en-US" w:eastAsia="zh-CN" w:bidi="ar-SA"/>
        </w:rPr>
      </w:pPr>
      <w:r>
        <w:rPr>
          <w:rFonts w:ascii="Times New Roman" w:hAnsi="Times New Roman" w:eastAsia="宋体" w:cs="Times New Roman"/>
          <w:kern w:val="2"/>
          <w:sz w:val="24"/>
          <w:szCs w:val="28"/>
          <w:lang w:val="en-US" w:eastAsia="zh-CN" w:bidi="ar-SA"/>
        </w:rPr>
        <w:t>ΣN</w:t>
      </w:r>
      <w:r>
        <w:rPr>
          <w:rFonts w:ascii="Times New Roman" w:hAnsi="Times New Roman" w:eastAsia="宋体" w:cs="Times New Roman"/>
          <w:kern w:val="2"/>
          <w:sz w:val="24"/>
          <w:szCs w:val="28"/>
          <w:vertAlign w:val="subscript"/>
          <w:lang w:val="en-US" w:eastAsia="zh-CN" w:bidi="ar-SA"/>
        </w:rPr>
        <w:t>i</w:t>
      </w:r>
      <w:r>
        <w:rPr>
          <w:rFonts w:ascii="Times New Roman" w:hAnsi="Times New Roman" w:eastAsia="宋体" w:cs="Times New Roman"/>
          <w:kern w:val="2"/>
          <w:sz w:val="24"/>
          <w:szCs w:val="28"/>
          <w:lang w:val="en-US" w:eastAsia="zh-CN" w:bidi="ar-SA"/>
        </w:rPr>
        <w:t>——冷源系统各用电设备的输入功率之和（kW）。</w:t>
      </w:r>
    </w:p>
    <w:p>
      <w:pPr>
        <w:widowControl w:val="0"/>
        <w:numPr>
          <w:ilvl w:val="0"/>
          <w:numId w:val="92"/>
        </w:numPr>
        <w:spacing w:before="0" w:after="0" w:line="360" w:lineRule="auto"/>
        <w:ind w:left="0" w:firstLine="480" w:firstLineChars="200"/>
        <w:jc w:val="both"/>
        <w:outlineLvl w:val="9"/>
        <w:rPr>
          <w:rFonts w:ascii="Times New Roman" w:hAnsi="Times New Roman" w:eastAsia="宋体" w:cs="Times New Roman"/>
          <w:b w:val="0"/>
          <w:bCs w:val="0"/>
          <w:kern w:val="28"/>
          <w:sz w:val="24"/>
          <w:szCs w:val="32"/>
          <w:lang w:val="zh-CN" w:eastAsia="zh-CN" w:bidi="ar-SA"/>
        </w:rPr>
      </w:pPr>
      <w:r>
        <w:rPr>
          <w:rFonts w:ascii="Times New Roman" w:hAnsi="Times New Roman" w:eastAsia="宋体" w:cs="Times New Roman"/>
          <w:b w:val="0"/>
          <w:bCs w:val="0"/>
          <w:kern w:val="28"/>
          <w:sz w:val="24"/>
          <w:szCs w:val="32"/>
          <w:lang w:val="zh-CN" w:eastAsia="zh-CN" w:bidi="ar-SA"/>
        </w:rPr>
        <w:t>检验成果：冷源系统能效系数检验报告。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7.1.4</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水系统单位温差输送系数的检验应符合下列规定：</w:t>
      </w:r>
    </w:p>
    <w:p>
      <w:pPr>
        <w:widowControl w:val="0"/>
        <w:numPr>
          <w:ilvl w:val="0"/>
          <w:numId w:val="94"/>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检验内容：循环泵耗电量、水系统输送冷（热）量。</w:t>
      </w:r>
    </w:p>
    <w:p>
      <w:pPr>
        <w:widowControl w:val="0"/>
        <w:numPr>
          <w:ilvl w:val="0"/>
          <w:numId w:val="94"/>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val="0"/>
        <w:numPr>
          <w:ilvl w:val="0"/>
          <w:numId w:val="95"/>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SA"/>
        </w:rPr>
      </w:pPr>
      <w:r>
        <w:rPr>
          <w:rFonts w:ascii="Times New Roman" w:hAnsi="Times New Roman" w:eastAsia="宋体" w:cs="Times New Roman"/>
          <w:kern w:val="2"/>
          <w:sz w:val="24"/>
          <w:szCs w:val="28"/>
          <w:lang w:val="en-US" w:eastAsia="zh-CN" w:bidi="ar-SA"/>
        </w:rPr>
        <w:t>应符合现行行业标准《公共建筑节能检测标准》JGJ/T 177 的规定；</w:t>
      </w:r>
    </w:p>
    <w:p>
      <w:pPr>
        <w:widowControl w:val="0"/>
        <w:numPr>
          <w:ilvl w:val="0"/>
          <w:numId w:val="95"/>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SA"/>
        </w:rPr>
      </w:pPr>
      <w:r>
        <w:rPr>
          <w:rFonts w:ascii="Times New Roman" w:hAnsi="Times New Roman" w:eastAsia="宋体" w:cs="Times New Roman"/>
          <w:kern w:val="2"/>
          <w:sz w:val="24"/>
          <w:szCs w:val="28"/>
          <w:lang w:val="en-US" w:eastAsia="zh-CN" w:bidi="ar-SA"/>
        </w:rPr>
        <w:t>水系统单位温差输送系数应按下式计算：</w:t>
      </w:r>
    </w:p>
    <w:p>
      <w:pPr>
        <w:spacing w:line="240" w:lineRule="auto"/>
        <w:jc w:val="center"/>
        <w:rPr>
          <w:rFonts w:ascii="Times New Roman" w:hAnsi="Times New Roman" w:cs="Times New Roman"/>
          <w:sz w:val="24"/>
          <w:szCs w:val="28"/>
        </w:rPr>
      </w:pPr>
      <m:oMathPara>
        <m:oMath>
          <m:r>
            <m:rPr>
              <m:sty m:val="p"/>
            </m:rPr>
            <w:rPr>
              <w:rFonts w:ascii="Cambria Math" w:hAnsi="Cambria Math"/>
              <w:sz w:val="24"/>
              <w:szCs w:val="28"/>
            </w:rPr>
            <m:t>WTF=</m:t>
          </m:r>
          <m:f>
            <m:fPr>
              <m:ctrlPr>
                <w:rPr>
                  <w:rFonts w:ascii="Cambria Math" w:hAnsi="Cambria Math"/>
                  <w:sz w:val="24"/>
                  <w:szCs w:val="28"/>
                </w:rPr>
              </m:ctrlPr>
            </m:fPr>
            <m:num>
              <m:r>
                <m:rPr>
                  <m:sty m:val="p"/>
                </m:rPr>
                <w:rPr>
                  <w:rFonts w:ascii="Cambria Math" w:hAnsi="Cambria Math"/>
                  <w:sz w:val="24"/>
                  <w:szCs w:val="28"/>
                </w:rPr>
                <m:t>Q</m:t>
              </m:r>
              <m:ctrlPr>
                <w:rPr>
                  <w:rFonts w:ascii="Cambria Math" w:hAnsi="Cambria Math"/>
                  <w:sz w:val="24"/>
                  <w:szCs w:val="28"/>
                </w:rPr>
              </m:ctrlPr>
            </m:num>
            <m:den>
              <m:r>
                <m:rPr>
                  <m:sty m:val="p"/>
                </m:rPr>
                <w:rPr>
                  <w:rFonts w:ascii="Cambria Math" w:hAnsi="Cambria Math"/>
                  <w:sz w:val="24"/>
                  <w:szCs w:val="28"/>
                </w:rPr>
                <m:t>NΔt</m:t>
              </m:r>
              <m:ctrlPr>
                <w:rPr>
                  <w:rFonts w:ascii="Cambria Math" w:hAnsi="Cambria Math"/>
                  <w:sz w:val="24"/>
                  <w:szCs w:val="28"/>
                </w:rPr>
              </m:ctrlPr>
            </m:den>
          </m:f>
          <m:r>
            <m:rPr/>
            <w:rPr>
              <w:rFonts w:ascii="Cambria Math" w:hAnsi="Cambria Math"/>
              <w:sz w:val="24"/>
              <w:szCs w:val="28"/>
            </w:rPr>
            <m:t>=</m:t>
          </m:r>
          <m:f>
            <m:fPr>
              <m:ctrlPr>
                <w:rPr>
                  <w:rFonts w:ascii="Cambria Math" w:hAnsi="Cambria Math"/>
                  <w:sz w:val="24"/>
                  <w:szCs w:val="28"/>
                </w:rPr>
              </m:ctrlPr>
            </m:fPr>
            <m:num>
              <m:r>
                <m:rPr>
                  <m:sty m:val="p"/>
                </m:rPr>
                <w:rPr>
                  <w:rFonts w:ascii="Cambria Math" w:hAnsi="Cambria Math"/>
                  <w:sz w:val="24"/>
                  <w:szCs w:val="28"/>
                </w:rPr>
                <m:t>Vρc</m:t>
              </m:r>
              <m:ctrlPr>
                <w:rPr>
                  <w:rFonts w:ascii="Cambria Math" w:hAnsi="Cambria Math"/>
                  <w:sz w:val="24"/>
                  <w:szCs w:val="28"/>
                </w:rPr>
              </m:ctrlPr>
            </m:num>
            <m:den>
              <m:r>
                <m:rPr>
                  <m:sty m:val="p"/>
                </m:rPr>
                <w:rPr>
                  <w:rFonts w:ascii="Cambria Math" w:hAnsi="Cambria Math"/>
                  <w:sz w:val="24"/>
                  <w:szCs w:val="28"/>
                </w:rPr>
                <m:t>3600·N</m:t>
              </m:r>
              <m:ctrlPr>
                <w:rPr>
                  <w:rFonts w:ascii="Cambria Math" w:hAnsi="Cambria Math"/>
                  <w:sz w:val="24"/>
                  <w:szCs w:val="28"/>
                </w:rPr>
              </m:ctrlPr>
            </m:den>
          </m:f>
        </m:oMath>
      </m:oMathPara>
    </w:p>
    <w:p>
      <w:pPr>
        <w:spacing w:line="360" w:lineRule="auto"/>
        <w:jc w:val="left"/>
        <w:rPr>
          <w:rFonts w:ascii="Times New Roman" w:hAnsi="Times New Roman" w:cs="Times New Roman"/>
          <w:sz w:val="24"/>
          <w:szCs w:val="28"/>
        </w:rPr>
      </w:pPr>
      <w:r>
        <w:rPr>
          <w:rFonts w:ascii="Times New Roman" w:hAnsi="Times New Roman" w:cs="Times New Roman"/>
          <w:sz w:val="24"/>
          <w:szCs w:val="28"/>
        </w:rPr>
        <w:t>式中：WTF——水系统单位温差输送系数（1/℃）；</w:t>
      </w:r>
    </w:p>
    <w:p>
      <w:pPr>
        <w:spacing w:line="360" w:lineRule="auto"/>
        <w:ind w:firstLine="960" w:firstLineChars="400"/>
        <w:jc w:val="left"/>
        <w:rPr>
          <w:rFonts w:ascii="Times New Roman" w:hAnsi="Times New Roman" w:cs="Times New Roman"/>
          <w:sz w:val="24"/>
          <w:szCs w:val="28"/>
        </w:rPr>
      </w:pPr>
      <w:r>
        <w:rPr>
          <w:rFonts w:ascii="Times New Roman" w:hAnsi="Times New Roman" w:cs="Times New Roman"/>
          <w:sz w:val="24"/>
          <w:szCs w:val="28"/>
        </w:rPr>
        <w:t>Q——水系统输送冷（热）量（kWh）；</w:t>
      </w:r>
    </w:p>
    <w:p>
      <w:pPr>
        <w:spacing w:line="360" w:lineRule="auto"/>
        <w:ind w:firstLine="960" w:firstLineChars="400"/>
        <w:jc w:val="left"/>
        <w:rPr>
          <w:rFonts w:ascii="Times New Roman" w:hAnsi="Times New Roman" w:cs="Times New Roman"/>
          <w:sz w:val="24"/>
          <w:szCs w:val="28"/>
        </w:rPr>
      </w:pPr>
      <w:r>
        <w:rPr>
          <w:rFonts w:ascii="Times New Roman" w:hAnsi="Times New Roman" w:cs="Times New Roman"/>
          <w:sz w:val="24"/>
          <w:szCs w:val="28"/>
        </w:rPr>
        <w:t>N——水系统输送循环泵耗电量（kWh）；</w:t>
      </w:r>
    </w:p>
    <w:p>
      <w:pPr>
        <w:spacing w:line="360" w:lineRule="auto"/>
        <w:ind w:firstLine="960" w:firstLineChars="400"/>
        <w:jc w:val="left"/>
        <w:rPr>
          <w:rFonts w:ascii="Times New Roman" w:hAnsi="Times New Roman" w:cs="Times New Roman"/>
          <w:sz w:val="24"/>
          <w:szCs w:val="28"/>
        </w:rPr>
      </w:pPr>
      <w:r>
        <w:rPr>
          <w:rFonts w:ascii="Times New Roman" w:hAnsi="Times New Roman" w:cs="Times New Roman"/>
          <w:sz w:val="24"/>
          <w:szCs w:val="28"/>
        </w:rPr>
        <w:sym w:font="Symbol" w:char="F044"/>
      </w:r>
      <w:r>
        <w:rPr>
          <w:rFonts w:ascii="Times New Roman" w:hAnsi="Times New Roman" w:cs="Times New Roman"/>
          <w:sz w:val="24"/>
          <w:szCs w:val="28"/>
        </w:rPr>
        <w:t>t——水系统供回水温差（℃）；</w:t>
      </w:r>
    </w:p>
    <w:p>
      <w:pPr>
        <w:spacing w:line="360" w:lineRule="auto"/>
        <w:ind w:firstLine="960" w:firstLineChars="400"/>
        <w:jc w:val="left"/>
        <w:rPr>
          <w:rFonts w:ascii="Times New Roman" w:hAnsi="Times New Roman" w:cs="Times New Roman"/>
          <w:sz w:val="24"/>
          <w:szCs w:val="28"/>
        </w:rPr>
      </w:pPr>
      <w:r>
        <w:rPr>
          <w:rFonts w:ascii="Times New Roman" w:hAnsi="Times New Roman" w:cs="Times New Roman"/>
          <w:sz w:val="24"/>
          <w:szCs w:val="28"/>
        </w:rPr>
        <w:t>V——水系统循环水流量（m³/h）；</w:t>
      </w:r>
    </w:p>
    <w:p>
      <w:pPr>
        <w:spacing w:line="360" w:lineRule="auto"/>
        <w:ind w:firstLine="960" w:firstLineChars="400"/>
        <w:jc w:val="left"/>
        <w:rPr>
          <w:rFonts w:ascii="Times New Roman" w:hAnsi="Times New Roman" w:cs="Times New Roman"/>
          <w:sz w:val="24"/>
          <w:szCs w:val="28"/>
        </w:rPr>
      </w:pPr>
      <w:r>
        <w:rPr>
          <w:rFonts w:ascii="Times New Roman" w:hAnsi="Times New Roman" w:cs="Times New Roman"/>
          <w:sz w:val="24"/>
          <w:szCs w:val="28"/>
        </w:rPr>
        <w:t>ρ——水系统循环水密度，[kg/m³]；</w:t>
      </w:r>
    </w:p>
    <w:p>
      <w:pPr>
        <w:spacing w:line="360" w:lineRule="auto"/>
        <w:ind w:firstLine="960" w:firstLineChars="400"/>
        <w:jc w:val="left"/>
        <w:rPr>
          <w:rFonts w:ascii="Times New Roman" w:hAnsi="Times New Roman" w:cs="Times New Roman"/>
          <w:sz w:val="24"/>
          <w:szCs w:val="28"/>
        </w:rPr>
      </w:pPr>
      <w:r>
        <w:rPr>
          <w:rFonts w:ascii="Times New Roman" w:hAnsi="Times New Roman" w:cs="Times New Roman"/>
          <w:sz w:val="24"/>
          <w:szCs w:val="28"/>
        </w:rPr>
        <w:t>c——水系统循环水定压比热，[kJ/(kg·K)]。</w:t>
      </w:r>
    </w:p>
    <w:p>
      <w:pPr>
        <w:widowControl w:val="0"/>
        <w:numPr>
          <w:ilvl w:val="0"/>
          <w:numId w:val="94"/>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检验成果：水系统单位温差输送系数检验报告。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7.1.5</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电梯与自动扶梯</w:t>
      </w:r>
      <w:r>
        <w:rPr>
          <w:rFonts w:ascii="Times New Roman" w:hAnsi="Times New Roman" w:eastAsia="宋体" w:cs="Times New Roman"/>
          <w:b w:val="0"/>
          <w:bCs/>
          <w:kern w:val="28"/>
          <w:sz w:val="24"/>
          <w:szCs w:val="32"/>
          <w:lang w:val="zh-CN" w:eastAsia="zh" w:bidi="ar-SA"/>
        </w:rPr>
        <w:t>运行效果</w:t>
      </w:r>
      <w:r>
        <w:rPr>
          <w:rFonts w:ascii="Times New Roman" w:hAnsi="Times New Roman" w:eastAsia="宋体" w:cs="Times New Roman"/>
          <w:b w:val="0"/>
          <w:bCs/>
          <w:kern w:val="28"/>
          <w:sz w:val="24"/>
          <w:szCs w:val="32"/>
          <w:lang w:val="zh-CN" w:eastAsia="zh-CN" w:bidi="ar-SA"/>
        </w:rPr>
        <w:t>的检验应符合下列规定：</w:t>
      </w:r>
    </w:p>
    <w:p>
      <w:pPr>
        <w:widowControl w:val="0"/>
        <w:numPr>
          <w:ilvl w:val="0"/>
          <w:numId w:val="96"/>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检验内容：电梯和自动扶梯</w:t>
      </w:r>
      <w:r>
        <w:rPr>
          <w:rFonts w:ascii="Times New Roman" w:hAnsi="Times New Roman" w:eastAsia="宋体" w:cs="Times New Roman"/>
          <w:b w:val="0"/>
          <w:bCs/>
          <w:kern w:val="28"/>
          <w:sz w:val="24"/>
          <w:szCs w:val="32"/>
          <w:lang w:val="zh-CN" w:eastAsia="zh" w:bidi="ar-SA"/>
        </w:rPr>
        <w:t>运行效果</w:t>
      </w:r>
      <w:r>
        <w:rPr>
          <w:rFonts w:ascii="Times New Roman" w:hAnsi="Times New Roman" w:eastAsia="宋体" w:cs="Times New Roman"/>
          <w:b w:val="0"/>
          <w:bCs/>
          <w:kern w:val="28"/>
          <w:sz w:val="24"/>
          <w:szCs w:val="32"/>
          <w:lang w:val="zh-CN" w:eastAsia="zh-CN" w:bidi="ar-SA"/>
        </w:rPr>
        <w:t>。</w:t>
      </w:r>
    </w:p>
    <w:p>
      <w:pPr>
        <w:widowControl w:val="0"/>
        <w:numPr>
          <w:ilvl w:val="0"/>
          <w:numId w:val="96"/>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val="0"/>
        <w:numPr>
          <w:ilvl w:val="0"/>
          <w:numId w:val="97"/>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SA"/>
        </w:rPr>
      </w:pPr>
      <w:r>
        <w:rPr>
          <w:rFonts w:ascii="Times New Roman" w:hAnsi="Times New Roman" w:eastAsia="宋体" w:cs="Times New Roman"/>
          <w:kern w:val="2"/>
          <w:sz w:val="24"/>
          <w:szCs w:val="28"/>
          <w:lang w:val="en-US" w:eastAsia="zh-CN" w:bidi="ar-SA"/>
        </w:rPr>
        <w:t>现场核查电梯、自动扶梯产品检验报告和运行记录；</w:t>
      </w:r>
    </w:p>
    <w:p>
      <w:pPr>
        <w:widowControl w:val="0"/>
        <w:numPr>
          <w:ilvl w:val="0"/>
          <w:numId w:val="97"/>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SA"/>
        </w:rPr>
      </w:pPr>
      <w:r>
        <w:rPr>
          <w:rFonts w:ascii="Times New Roman" w:hAnsi="Times New Roman" w:eastAsia="宋体" w:cs="Times New Roman"/>
          <w:kern w:val="2"/>
          <w:sz w:val="24"/>
          <w:szCs w:val="28"/>
          <w:lang w:val="en-US" w:eastAsia="zh-CN" w:bidi="ar-SA"/>
        </w:rPr>
        <w:t>电梯和自动扶梯的节能特性应符合现行国家标准《电梯监督检验和定期</w:t>
      </w:r>
    </w:p>
    <w:p>
      <w:pPr>
        <w:widowControl w:val="0"/>
        <w:numPr>
          <w:ilvl w:val="-1"/>
          <w:numId w:val="0"/>
        </w:numPr>
        <w:adjustRightInd w:val="0"/>
        <w:spacing w:line="360" w:lineRule="auto"/>
        <w:ind w:left="806" w:leftChars="384" w:firstLine="0" w:firstLineChars="0"/>
        <w:jc w:val="both"/>
        <w:outlineLvl w:val="9"/>
        <w:rPr>
          <w:rFonts w:ascii="Times New Roman" w:hAnsi="Times New Roman" w:eastAsia="宋体" w:cs="Times New Roman"/>
          <w:kern w:val="2"/>
          <w:sz w:val="24"/>
          <w:szCs w:val="28"/>
          <w:lang w:val="en-US" w:eastAsia="zh-CN" w:bidi="ar-SA"/>
        </w:rPr>
      </w:pPr>
      <w:r>
        <w:rPr>
          <w:rFonts w:ascii="Times New Roman" w:hAnsi="Times New Roman" w:eastAsia="宋体" w:cs="Times New Roman"/>
          <w:kern w:val="2"/>
          <w:sz w:val="24"/>
          <w:szCs w:val="28"/>
          <w:lang w:val="en-US" w:eastAsia="zh-CN" w:bidi="ar-SA"/>
        </w:rPr>
        <w:t>检验规则》TSGT7005、现行地方标准《电梯能效等级》 DB44/T 890 的规定；</w:t>
      </w:r>
    </w:p>
    <w:p>
      <w:pPr>
        <w:widowControl w:val="0"/>
        <w:numPr>
          <w:ilvl w:val="0"/>
          <w:numId w:val="97"/>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SA"/>
        </w:rPr>
      </w:pPr>
      <w:r>
        <w:rPr>
          <w:rFonts w:ascii="Times New Roman" w:hAnsi="Times New Roman" w:eastAsia="宋体" w:cs="Times New Roman"/>
          <w:kern w:val="2"/>
          <w:sz w:val="24"/>
          <w:szCs w:val="28"/>
          <w:lang w:val="en-US" w:eastAsia="zh-CN" w:bidi="ar-SA"/>
        </w:rPr>
        <w:t>电梯节能控制措施应包括电梯并联或群控控制、扶梯感应启停、轿厢无</w:t>
      </w:r>
    </w:p>
    <w:p>
      <w:pPr>
        <w:widowControl w:val="0"/>
        <w:numPr>
          <w:ilvl w:val="-1"/>
          <w:numId w:val="0"/>
        </w:numPr>
        <w:adjustRightInd w:val="0"/>
        <w:spacing w:line="360" w:lineRule="auto"/>
        <w:ind w:left="806" w:leftChars="384" w:firstLine="0" w:firstLineChars="0"/>
        <w:jc w:val="both"/>
        <w:outlineLvl w:val="9"/>
        <w:rPr>
          <w:rFonts w:ascii="Times New Roman" w:hAnsi="Times New Roman" w:eastAsia="宋体" w:cs="Times New Roman"/>
          <w:kern w:val="2"/>
          <w:sz w:val="24"/>
          <w:szCs w:val="28"/>
          <w:lang w:val="en-US" w:eastAsia="zh-CN" w:bidi="ar-SA"/>
        </w:rPr>
      </w:pPr>
      <w:r>
        <w:rPr>
          <w:rFonts w:ascii="Times New Roman" w:hAnsi="Times New Roman" w:eastAsia="宋体" w:cs="Times New Roman"/>
          <w:kern w:val="2"/>
          <w:sz w:val="24"/>
          <w:szCs w:val="28"/>
          <w:lang w:val="en-US" w:eastAsia="zh-CN" w:bidi="ar-SA"/>
        </w:rPr>
        <w:t>人自动关灯、驱动器休眠、电梯能量回馈装置和自动扶梯变频感应启动等技术等。</w:t>
      </w:r>
    </w:p>
    <w:p>
      <w:pPr>
        <w:widowControl w:val="0"/>
        <w:numPr>
          <w:ilvl w:val="0"/>
          <w:numId w:val="96"/>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检验成果：电梯和自动扶梯</w:t>
      </w:r>
      <w:r>
        <w:rPr>
          <w:rFonts w:ascii="Times New Roman" w:hAnsi="Times New Roman" w:eastAsia="宋体" w:cs="Times New Roman"/>
          <w:b w:val="0"/>
          <w:bCs/>
          <w:kern w:val="28"/>
          <w:sz w:val="24"/>
          <w:szCs w:val="32"/>
          <w:lang w:val="zh-CN" w:eastAsia="zh" w:bidi="ar-SA"/>
        </w:rPr>
        <w:t>运行效果</w:t>
      </w:r>
      <w:r>
        <w:rPr>
          <w:rFonts w:ascii="Times New Roman" w:hAnsi="Times New Roman" w:eastAsia="宋体" w:cs="Times New Roman"/>
          <w:b w:val="0"/>
          <w:bCs/>
          <w:kern w:val="28"/>
          <w:sz w:val="24"/>
          <w:szCs w:val="32"/>
          <w:lang w:val="zh-CN" w:eastAsia="zh-CN" w:bidi="ar-SA"/>
        </w:rPr>
        <w:t>检验报告。</w:t>
      </w:r>
    </w:p>
    <w:p>
      <w:pPr>
        <w:widowControl w:val="0"/>
        <w:numPr>
          <w:ilvl w:val="2"/>
          <w:numId w:val="0"/>
        </w:numPr>
        <w:spacing w:before="0" w:after="0" w:line="360" w:lineRule="auto"/>
        <w:jc w:val="both"/>
        <w:outlineLvl w:val="9"/>
        <w:rPr>
          <w:rFonts w:ascii="Times New Roman" w:hAnsi="Times New Roman" w:eastAsia="宋体" w:cs="Times New Roman"/>
          <w:b/>
          <w:bCs/>
          <w:kern w:val="28"/>
          <w:sz w:val="24"/>
          <w:szCs w:val="28"/>
          <w:lang w:val="zh-CN" w:eastAsia="zh-CN" w:bidi="ar-SA"/>
        </w:rPr>
      </w:pPr>
      <w:r>
        <w:rPr>
          <w:rFonts w:hint="default" w:ascii="Times New Roman" w:hAnsi="Times New Roman" w:eastAsia="宋体" w:cs="Times New Roman"/>
          <w:b/>
          <w:bCs/>
          <w:color w:val="auto"/>
          <w:kern w:val="28"/>
          <w:sz w:val="24"/>
          <w:szCs w:val="24"/>
          <w:lang w:val="zh-CN" w:eastAsia="zh-CN" w:bidi="ar-SA"/>
        </w:rPr>
        <w:t>7.1.6</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风道系统风机单位风量耗功率的检验应符合下列规定：</w:t>
      </w:r>
    </w:p>
    <w:p>
      <w:pPr>
        <w:widowControl w:val="0"/>
        <w:numPr>
          <w:ilvl w:val="0"/>
          <w:numId w:val="98"/>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检验内容：风机输入功率、风机风量。</w:t>
      </w:r>
    </w:p>
    <w:p>
      <w:pPr>
        <w:widowControl w:val="0"/>
        <w:numPr>
          <w:ilvl w:val="0"/>
          <w:numId w:val="98"/>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val="0"/>
        <w:numPr>
          <w:ilvl w:val="0"/>
          <w:numId w:val="99"/>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SA"/>
        </w:rPr>
      </w:pPr>
      <w:r>
        <w:rPr>
          <w:rFonts w:ascii="Times New Roman" w:hAnsi="Times New Roman" w:eastAsia="宋体" w:cs="Times New Roman"/>
          <w:kern w:val="2"/>
          <w:sz w:val="24"/>
          <w:szCs w:val="28"/>
          <w:lang w:val="en-US" w:eastAsia="zh-CN" w:bidi="ar-SA"/>
        </w:rPr>
        <w:t>应符合现行行业标准《公共建筑节能检测标准》JGJ/T 177 的规定；</w:t>
      </w:r>
    </w:p>
    <w:p>
      <w:pPr>
        <w:widowControl w:val="0"/>
        <w:numPr>
          <w:ilvl w:val="0"/>
          <w:numId w:val="99"/>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SA"/>
        </w:rPr>
      </w:pPr>
      <w:r>
        <w:rPr>
          <w:rFonts w:ascii="Times New Roman" w:hAnsi="Times New Roman" w:eastAsia="宋体" w:cs="Times New Roman"/>
          <w:kern w:val="2"/>
          <w:sz w:val="24"/>
          <w:szCs w:val="28"/>
          <w:lang w:val="en-US" w:eastAsia="zh-CN" w:bidi="ar-SA"/>
        </w:rPr>
        <w:t>第 j 个支路系统风机单位风量耗功率（Wsj）应按下式计算：</w:t>
      </w:r>
    </w:p>
    <w:p>
      <w:pPr>
        <w:spacing w:line="360" w:lineRule="auto"/>
        <w:jc w:val="center"/>
        <w:rPr>
          <w:rFonts w:ascii="Times New Roman" w:hAnsi="Times New Roman" w:cs="Times New Roman"/>
          <w:sz w:val="24"/>
          <w:szCs w:val="28"/>
        </w:rPr>
      </w:pPr>
      <w:r>
        <w:rPr>
          <w:rFonts w:ascii="Times New Roman" w:hAnsi="Times New Roman" w:cs="Times New Roman"/>
          <w:sz w:val="24"/>
          <w:szCs w:val="28"/>
        </w:rPr>
        <w:t>W</w:t>
      </w:r>
      <w:r>
        <w:rPr>
          <w:rFonts w:ascii="Times New Roman" w:hAnsi="Times New Roman" w:cs="Times New Roman"/>
          <w:sz w:val="24"/>
          <w:szCs w:val="28"/>
          <w:vertAlign w:val="subscript"/>
        </w:rPr>
        <w:t>sj</w:t>
      </w:r>
      <w:r>
        <w:rPr>
          <w:rFonts w:ascii="Times New Roman" w:hAnsi="Times New Roman" w:cs="Times New Roman"/>
          <w:sz w:val="24"/>
          <w:szCs w:val="28"/>
        </w:rPr>
        <w:t>=N</w:t>
      </w:r>
      <w:r>
        <w:rPr>
          <w:rFonts w:ascii="Times New Roman" w:hAnsi="Times New Roman" w:cs="Times New Roman"/>
          <w:sz w:val="24"/>
          <w:szCs w:val="28"/>
          <w:vertAlign w:val="subscript"/>
        </w:rPr>
        <w:t>j</w:t>
      </w:r>
      <w:r>
        <w:rPr>
          <w:rFonts w:ascii="Times New Roman" w:hAnsi="Times New Roman" w:cs="Times New Roman"/>
          <w:sz w:val="24"/>
          <w:szCs w:val="28"/>
        </w:rPr>
        <w:t>/L</w:t>
      </w:r>
      <w:r>
        <w:rPr>
          <w:rFonts w:ascii="Times New Roman" w:hAnsi="Times New Roman" w:cs="Times New Roman"/>
          <w:sz w:val="24"/>
          <w:szCs w:val="28"/>
          <w:vertAlign w:val="subscript"/>
        </w:rPr>
        <w:t>j</w:t>
      </w:r>
    </w:p>
    <w:p>
      <w:pPr>
        <w:spacing w:line="360" w:lineRule="auto"/>
        <w:jc w:val="left"/>
        <w:rPr>
          <w:rFonts w:ascii="Times New Roman" w:hAnsi="Times New Roman" w:cs="Times New Roman"/>
          <w:sz w:val="24"/>
          <w:szCs w:val="28"/>
        </w:rPr>
      </w:pPr>
      <w:r>
        <w:rPr>
          <w:rFonts w:ascii="Times New Roman" w:hAnsi="Times New Roman" w:cs="Times New Roman"/>
          <w:sz w:val="24"/>
          <w:szCs w:val="28"/>
        </w:rPr>
        <w:t>式中：W</w:t>
      </w:r>
      <w:r>
        <w:rPr>
          <w:rFonts w:ascii="Times New Roman" w:hAnsi="Times New Roman" w:cs="Times New Roman"/>
          <w:sz w:val="24"/>
          <w:szCs w:val="28"/>
          <w:vertAlign w:val="subscript"/>
        </w:rPr>
        <w:t>sj</w:t>
      </w:r>
      <w:r>
        <w:rPr>
          <w:rFonts w:ascii="Times New Roman" w:hAnsi="Times New Roman" w:cs="Times New Roman"/>
          <w:sz w:val="24"/>
          <w:szCs w:val="28"/>
        </w:rPr>
        <w:t>——第j个支路系统单位风量耗功率 [W/(m³/h)]；</w:t>
      </w:r>
    </w:p>
    <w:p>
      <w:pPr>
        <w:spacing w:line="360" w:lineRule="auto"/>
        <w:ind w:firstLine="720" w:firstLineChars="300"/>
        <w:jc w:val="left"/>
        <w:rPr>
          <w:rFonts w:ascii="Times New Roman" w:hAnsi="Times New Roman" w:cs="Times New Roman"/>
          <w:sz w:val="24"/>
          <w:szCs w:val="28"/>
        </w:rPr>
      </w:pPr>
      <w:r>
        <w:rPr>
          <w:rFonts w:ascii="Times New Roman" w:hAnsi="Times New Roman" w:cs="Times New Roman"/>
          <w:sz w:val="24"/>
          <w:szCs w:val="28"/>
        </w:rPr>
        <w:t>N</w:t>
      </w:r>
      <w:r>
        <w:rPr>
          <w:rFonts w:ascii="Times New Roman" w:hAnsi="Times New Roman" w:cs="Times New Roman"/>
          <w:sz w:val="24"/>
          <w:szCs w:val="28"/>
          <w:vertAlign w:val="subscript"/>
        </w:rPr>
        <w:t>j</w:t>
      </w:r>
      <w:r>
        <w:rPr>
          <w:rFonts w:ascii="Times New Roman" w:hAnsi="Times New Roman" w:cs="Times New Roman"/>
          <w:sz w:val="24"/>
          <w:szCs w:val="28"/>
        </w:rPr>
        <w:t>——第j个支路系统风机输入功率（W）；</w:t>
      </w:r>
    </w:p>
    <w:p>
      <w:pPr>
        <w:spacing w:line="360" w:lineRule="auto"/>
        <w:ind w:firstLine="720" w:firstLineChars="300"/>
        <w:jc w:val="left"/>
        <w:rPr>
          <w:rFonts w:ascii="Times New Roman" w:hAnsi="Times New Roman" w:cs="Times New Roman"/>
          <w:sz w:val="24"/>
          <w:szCs w:val="28"/>
        </w:rPr>
      </w:pPr>
      <w:r>
        <w:rPr>
          <w:rFonts w:ascii="Times New Roman" w:hAnsi="Times New Roman" w:cs="Times New Roman"/>
          <w:sz w:val="24"/>
          <w:szCs w:val="28"/>
        </w:rPr>
        <w:t>L</w:t>
      </w:r>
      <w:r>
        <w:rPr>
          <w:rFonts w:ascii="Times New Roman" w:hAnsi="Times New Roman" w:cs="Times New Roman"/>
          <w:sz w:val="24"/>
          <w:szCs w:val="28"/>
          <w:vertAlign w:val="subscript"/>
        </w:rPr>
        <w:t>j</w:t>
      </w:r>
      <w:r>
        <w:rPr>
          <w:rFonts w:ascii="Times New Roman" w:hAnsi="Times New Roman" w:cs="Times New Roman"/>
          <w:sz w:val="24"/>
          <w:szCs w:val="28"/>
        </w:rPr>
        <w:t>——第j个支路系统风机风量（m³ /h）。</w:t>
      </w:r>
    </w:p>
    <w:p>
      <w:pPr>
        <w:widowControl w:val="0"/>
        <w:numPr>
          <w:ilvl w:val="0"/>
          <w:numId w:val="98"/>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检验成果：风道系统风机单位风量耗功率检验报告。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7.1.7</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通风器</w:t>
      </w:r>
      <w:r>
        <w:rPr>
          <w:rFonts w:ascii="Times New Roman" w:hAnsi="Times New Roman" w:eastAsia="宋体" w:cs="Times New Roman"/>
          <w:b w:val="0"/>
          <w:bCs/>
          <w:kern w:val="28"/>
          <w:sz w:val="24"/>
          <w:szCs w:val="32"/>
          <w:lang w:val="zh-CN" w:eastAsia="zh" w:bidi="ar-SA"/>
        </w:rPr>
        <w:t>风量</w:t>
      </w:r>
      <w:r>
        <w:rPr>
          <w:rFonts w:ascii="Times New Roman" w:hAnsi="Times New Roman" w:eastAsia="宋体" w:cs="Times New Roman"/>
          <w:b w:val="0"/>
          <w:bCs/>
          <w:kern w:val="28"/>
          <w:sz w:val="24"/>
          <w:szCs w:val="32"/>
          <w:lang w:val="zh-CN" w:eastAsia="zh-CN" w:bidi="ar-SA"/>
        </w:rPr>
        <w:t>的检验应符合下列规定：</w:t>
      </w:r>
    </w:p>
    <w:p>
      <w:pPr>
        <w:widowControl w:val="0"/>
        <w:numPr>
          <w:ilvl w:val="0"/>
          <w:numId w:val="100"/>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检验内容：通风器风量。</w:t>
      </w:r>
    </w:p>
    <w:p>
      <w:pPr>
        <w:widowControl w:val="0"/>
        <w:numPr>
          <w:ilvl w:val="0"/>
          <w:numId w:val="100"/>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val="0"/>
        <w:numPr>
          <w:ilvl w:val="0"/>
          <w:numId w:val="101"/>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SA"/>
        </w:rPr>
      </w:pPr>
      <w:r>
        <w:rPr>
          <w:rFonts w:hint="default" w:ascii="Times New Roman" w:hAnsi="Times New Roman" w:eastAsia="宋体" w:cs="Times New Roman"/>
          <w:kern w:val="2"/>
          <w:sz w:val="24"/>
          <w:szCs w:val="28"/>
          <w:lang w:val="en-US" w:eastAsia="zh-CN" w:bidi="ar-SA"/>
        </w:rPr>
        <w:t>查阅</w:t>
      </w:r>
      <w:r>
        <w:rPr>
          <w:rFonts w:ascii="Times New Roman" w:hAnsi="Times New Roman" w:eastAsia="宋体" w:cs="Times New Roman"/>
          <w:kern w:val="2"/>
          <w:sz w:val="24"/>
          <w:szCs w:val="28"/>
          <w:lang w:val="en-US" w:eastAsia="zh-CN" w:bidi="ar-SA"/>
        </w:rPr>
        <w:t>建筑设计说明和竣工图文件；</w:t>
      </w:r>
    </w:p>
    <w:p>
      <w:pPr>
        <w:widowControl w:val="0"/>
        <w:numPr>
          <w:ilvl w:val="0"/>
          <w:numId w:val="101"/>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SA"/>
        </w:rPr>
      </w:pPr>
      <w:r>
        <w:rPr>
          <w:rFonts w:ascii="Times New Roman" w:hAnsi="Times New Roman" w:eastAsia="宋体" w:cs="Times New Roman"/>
          <w:kern w:val="2"/>
          <w:sz w:val="24"/>
          <w:szCs w:val="28"/>
          <w:lang w:val="en-US" w:eastAsia="zh-CN" w:bidi="ar-SA"/>
        </w:rPr>
        <w:t>现场核查通风器的安装和使用情况；</w:t>
      </w:r>
    </w:p>
    <w:p>
      <w:pPr>
        <w:widowControl w:val="0"/>
        <w:numPr>
          <w:ilvl w:val="0"/>
          <w:numId w:val="101"/>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SA"/>
        </w:rPr>
      </w:pPr>
      <w:r>
        <w:rPr>
          <w:rFonts w:ascii="Times New Roman" w:hAnsi="Times New Roman" w:eastAsia="宋体" w:cs="Times New Roman"/>
          <w:kern w:val="2"/>
          <w:sz w:val="24"/>
          <w:szCs w:val="28"/>
          <w:lang w:val="en-US" w:eastAsia="zh-CN" w:bidi="ar-SA"/>
        </w:rPr>
        <w:t>3层及以下的建筑物应逐层检验；3层以上的建筑应分别抽取首层、中间</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kern w:val="2"/>
          <w:sz w:val="24"/>
          <w:szCs w:val="28"/>
          <w:lang w:val="en-US" w:eastAsia="zh-CN" w:bidi="ar-SA"/>
        </w:rPr>
      </w:pPr>
      <w:r>
        <w:rPr>
          <w:rFonts w:ascii="Times New Roman" w:hAnsi="Times New Roman" w:eastAsia="宋体" w:cs="Times New Roman"/>
          <w:kern w:val="2"/>
          <w:sz w:val="24"/>
          <w:szCs w:val="28"/>
          <w:lang w:val="en-US" w:eastAsia="zh-CN" w:bidi="ar-SA"/>
        </w:rPr>
        <w:t>层和顶层进行检验；</w:t>
      </w:r>
    </w:p>
    <w:p>
      <w:pPr>
        <w:widowControl w:val="0"/>
        <w:numPr>
          <w:ilvl w:val="0"/>
          <w:numId w:val="101"/>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SA"/>
        </w:rPr>
      </w:pPr>
      <w:r>
        <w:rPr>
          <w:rFonts w:ascii="Times New Roman" w:hAnsi="Times New Roman" w:eastAsia="宋体" w:cs="Times New Roman"/>
          <w:kern w:val="2"/>
          <w:sz w:val="24"/>
          <w:szCs w:val="28"/>
          <w:lang w:val="en-US" w:eastAsia="zh-CN" w:bidi="ar-SA"/>
        </w:rPr>
        <w:t>风量检测应符合现行行业标准《采暖通风与空气调节工程检测技术规程》</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kern w:val="2"/>
          <w:sz w:val="24"/>
          <w:szCs w:val="28"/>
          <w:lang w:val="en-US" w:eastAsia="zh-CN" w:bidi="ar-SA"/>
        </w:rPr>
      </w:pPr>
      <w:r>
        <w:rPr>
          <w:rFonts w:ascii="Times New Roman" w:hAnsi="Times New Roman" w:eastAsia="宋体" w:cs="Times New Roman"/>
          <w:kern w:val="2"/>
          <w:sz w:val="24"/>
          <w:szCs w:val="28"/>
          <w:lang w:val="en-US" w:eastAsia="zh-CN" w:bidi="ar-SA"/>
        </w:rPr>
        <w:t>JGJ/T 260的相关规定。</w:t>
      </w:r>
    </w:p>
    <w:p>
      <w:pPr>
        <w:widowControl w:val="0"/>
        <w:numPr>
          <w:ilvl w:val="0"/>
          <w:numId w:val="100"/>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检验成果：通风器</w:t>
      </w:r>
      <w:r>
        <w:rPr>
          <w:rFonts w:ascii="Times New Roman" w:hAnsi="Times New Roman" w:eastAsia="宋体" w:cs="Times New Roman"/>
          <w:b w:val="0"/>
          <w:bCs/>
          <w:kern w:val="28"/>
          <w:sz w:val="24"/>
          <w:szCs w:val="32"/>
          <w:lang w:val="zh-CN" w:eastAsia="zh" w:bidi="ar-SA"/>
        </w:rPr>
        <w:t>风量</w:t>
      </w:r>
      <w:r>
        <w:rPr>
          <w:rFonts w:ascii="Times New Roman" w:hAnsi="Times New Roman" w:eastAsia="宋体" w:cs="Times New Roman"/>
          <w:b w:val="0"/>
          <w:bCs/>
          <w:kern w:val="28"/>
          <w:sz w:val="24"/>
          <w:szCs w:val="32"/>
          <w:lang w:val="zh-CN" w:eastAsia="zh-CN" w:bidi="ar-SA"/>
        </w:rPr>
        <w:t>检验报告。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7.1.8</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空调冷（热）源制冷（热）量</w:t>
      </w:r>
      <w:r>
        <w:rPr>
          <w:rFonts w:ascii="Times New Roman" w:hAnsi="Times New Roman" w:eastAsia="宋体" w:cs="Times New Roman"/>
          <w:b w:val="0"/>
          <w:bCs/>
          <w:kern w:val="28"/>
          <w:sz w:val="24"/>
          <w:szCs w:val="32"/>
          <w:lang w:val="zh-CN" w:eastAsia="zh" w:bidi="ar-SA"/>
        </w:rPr>
        <w:t>运行效果</w:t>
      </w:r>
      <w:r>
        <w:rPr>
          <w:rFonts w:ascii="Times New Roman" w:hAnsi="Times New Roman" w:eastAsia="宋体" w:cs="Times New Roman"/>
          <w:b w:val="0"/>
          <w:bCs/>
          <w:kern w:val="28"/>
          <w:sz w:val="24"/>
          <w:szCs w:val="32"/>
          <w:lang w:val="zh-CN" w:eastAsia="zh-CN" w:bidi="ar-SA"/>
        </w:rPr>
        <w:t>的检验应符合下列规定：</w:t>
      </w:r>
    </w:p>
    <w:p>
      <w:pPr>
        <w:widowControl w:val="0"/>
        <w:numPr>
          <w:ilvl w:val="0"/>
          <w:numId w:val="102"/>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检验内容：空调冷（热）源制冷（热）量优化控制。</w:t>
      </w:r>
    </w:p>
    <w:p>
      <w:pPr>
        <w:widowControl w:val="0"/>
        <w:numPr>
          <w:ilvl w:val="0"/>
          <w:numId w:val="102"/>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val="0"/>
        <w:numPr>
          <w:ilvl w:val="0"/>
          <w:numId w:val="103"/>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SA"/>
        </w:rPr>
      </w:pPr>
      <w:r>
        <w:rPr>
          <w:rFonts w:hint="default" w:ascii="Times New Roman" w:hAnsi="Times New Roman" w:eastAsia="宋体" w:cs="Times New Roman"/>
          <w:kern w:val="2"/>
          <w:sz w:val="24"/>
          <w:szCs w:val="28"/>
          <w:lang w:val="en-US" w:eastAsia="zh-CN" w:bidi="ar-SA"/>
        </w:rPr>
        <w:t>查阅</w:t>
      </w:r>
      <w:r>
        <w:rPr>
          <w:rFonts w:ascii="Times New Roman" w:hAnsi="Times New Roman" w:eastAsia="宋体" w:cs="Times New Roman"/>
          <w:kern w:val="2"/>
          <w:sz w:val="24"/>
          <w:szCs w:val="28"/>
          <w:lang w:val="en-US" w:eastAsia="zh-CN" w:bidi="ar-SA"/>
        </w:rPr>
        <w:t>控制功能设计表、控制策略流程图和运行记录等；</w:t>
      </w:r>
    </w:p>
    <w:p>
      <w:pPr>
        <w:widowControl w:val="0"/>
        <w:numPr>
          <w:ilvl w:val="0"/>
          <w:numId w:val="103"/>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SA"/>
        </w:rPr>
      </w:pPr>
      <w:r>
        <w:rPr>
          <w:rFonts w:ascii="Times New Roman" w:hAnsi="Times New Roman" w:eastAsia="宋体" w:cs="Times New Roman"/>
          <w:kern w:val="2"/>
          <w:sz w:val="24"/>
          <w:szCs w:val="28"/>
          <w:lang w:val="en-US" w:eastAsia="zh-CN" w:bidi="ar-SA"/>
        </w:rPr>
        <w:t>根据预置的控制逻辑，模拟调整时间表或机组负载率等参数，系统应自</w:t>
      </w:r>
    </w:p>
    <w:p>
      <w:pPr>
        <w:widowControl w:val="0"/>
        <w:numPr>
          <w:ilvl w:val="-1"/>
          <w:numId w:val="0"/>
        </w:numPr>
        <w:adjustRightInd w:val="0"/>
        <w:spacing w:line="360" w:lineRule="auto"/>
        <w:ind w:left="806" w:leftChars="384" w:firstLine="0" w:firstLineChars="0"/>
        <w:jc w:val="both"/>
        <w:outlineLvl w:val="9"/>
        <w:rPr>
          <w:rFonts w:ascii="Times New Roman" w:hAnsi="Times New Roman" w:eastAsia="宋体" w:cs="Times New Roman"/>
          <w:kern w:val="2"/>
          <w:sz w:val="24"/>
          <w:szCs w:val="28"/>
          <w:lang w:val="en-US" w:eastAsia="zh-CN" w:bidi="ar-SA"/>
        </w:rPr>
      </w:pPr>
      <w:r>
        <w:rPr>
          <w:rFonts w:ascii="Times New Roman" w:hAnsi="Times New Roman" w:eastAsia="宋体" w:cs="Times New Roman"/>
          <w:kern w:val="2"/>
          <w:sz w:val="24"/>
          <w:szCs w:val="28"/>
          <w:lang w:val="en-US" w:eastAsia="zh-CN" w:bidi="ar-SA"/>
        </w:rPr>
        <w:t>动选择冷（热）源机组及相应联动设备，实现自动顺序启停和加减机功能；</w:t>
      </w:r>
    </w:p>
    <w:p>
      <w:pPr>
        <w:widowControl w:val="0"/>
        <w:numPr>
          <w:ilvl w:val="0"/>
          <w:numId w:val="103"/>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SA"/>
        </w:rPr>
      </w:pPr>
      <w:r>
        <w:rPr>
          <w:rFonts w:ascii="Times New Roman" w:hAnsi="Times New Roman" w:eastAsia="宋体" w:cs="Times New Roman"/>
          <w:kern w:val="2"/>
          <w:sz w:val="24"/>
          <w:szCs w:val="28"/>
          <w:lang w:val="en-US" w:eastAsia="zh-CN" w:bidi="ar-SA"/>
        </w:rPr>
        <w:t>模拟调整冷（热）源供水温度等，系统应实现制冷（热）量的自动优化</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kern w:val="2"/>
          <w:sz w:val="24"/>
          <w:szCs w:val="28"/>
          <w:lang w:val="en-US" w:eastAsia="zh-CN" w:bidi="ar-SA"/>
        </w:rPr>
      </w:pPr>
      <w:r>
        <w:rPr>
          <w:rFonts w:ascii="Times New Roman" w:hAnsi="Times New Roman" w:eastAsia="宋体" w:cs="Times New Roman"/>
          <w:kern w:val="2"/>
          <w:sz w:val="24"/>
          <w:szCs w:val="28"/>
          <w:lang w:val="en-US" w:eastAsia="zh-CN" w:bidi="ar-SA"/>
        </w:rPr>
        <w:t>控制功能。</w:t>
      </w:r>
    </w:p>
    <w:p>
      <w:pPr>
        <w:widowControl w:val="0"/>
        <w:numPr>
          <w:ilvl w:val="0"/>
          <w:numId w:val="102"/>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检验成果：空调冷（热）源制冷（热）量优化控制检验报告。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7.1.9</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冷水泵</w:t>
      </w:r>
      <w:r>
        <w:rPr>
          <w:rFonts w:ascii="Times New Roman" w:hAnsi="Times New Roman" w:eastAsia="宋体" w:cs="Times New Roman"/>
          <w:b w:val="0"/>
          <w:bCs/>
          <w:kern w:val="28"/>
          <w:sz w:val="24"/>
          <w:szCs w:val="32"/>
          <w:lang w:val="zh-CN" w:eastAsia="zh" w:bidi="ar-SA"/>
        </w:rPr>
        <w:t>运行效果</w:t>
      </w:r>
      <w:r>
        <w:rPr>
          <w:rFonts w:ascii="Times New Roman" w:hAnsi="Times New Roman" w:eastAsia="宋体" w:cs="Times New Roman"/>
          <w:b w:val="0"/>
          <w:bCs/>
          <w:kern w:val="28"/>
          <w:sz w:val="24"/>
          <w:szCs w:val="32"/>
          <w:lang w:val="zh-CN" w:eastAsia="zh-CN" w:bidi="ar-SA"/>
        </w:rPr>
        <w:t>的检验应符合下列规定：</w:t>
      </w:r>
    </w:p>
    <w:p>
      <w:pPr>
        <w:widowControl w:val="0"/>
        <w:numPr>
          <w:ilvl w:val="0"/>
          <w:numId w:val="104"/>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检验内容：冷水泵</w:t>
      </w:r>
      <w:r>
        <w:rPr>
          <w:rFonts w:ascii="Times New Roman" w:hAnsi="Times New Roman" w:eastAsia="宋体" w:cs="Times New Roman"/>
          <w:b w:val="0"/>
          <w:bCs/>
          <w:kern w:val="28"/>
          <w:sz w:val="24"/>
          <w:szCs w:val="32"/>
          <w:lang w:val="zh-CN" w:eastAsia="zh" w:bidi="ar-SA"/>
        </w:rPr>
        <w:t>运行效果</w:t>
      </w:r>
      <w:r>
        <w:rPr>
          <w:rFonts w:ascii="Times New Roman" w:hAnsi="Times New Roman" w:eastAsia="宋体" w:cs="Times New Roman"/>
          <w:b w:val="0"/>
          <w:bCs/>
          <w:kern w:val="28"/>
          <w:sz w:val="24"/>
          <w:szCs w:val="32"/>
          <w:lang w:val="zh-CN" w:eastAsia="zh-CN" w:bidi="ar-SA"/>
        </w:rPr>
        <w:t>。</w:t>
      </w:r>
    </w:p>
    <w:p>
      <w:pPr>
        <w:widowControl w:val="0"/>
        <w:numPr>
          <w:ilvl w:val="0"/>
          <w:numId w:val="104"/>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val="0"/>
        <w:numPr>
          <w:ilvl w:val="0"/>
          <w:numId w:val="105"/>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SA"/>
        </w:rPr>
      </w:pPr>
      <w:r>
        <w:rPr>
          <w:rFonts w:hint="default" w:ascii="Times New Roman" w:hAnsi="Times New Roman" w:eastAsia="宋体" w:cs="Times New Roman"/>
          <w:kern w:val="2"/>
          <w:sz w:val="24"/>
          <w:szCs w:val="28"/>
          <w:lang w:val="en-US" w:eastAsia="zh-CN" w:bidi="ar-SA"/>
        </w:rPr>
        <w:t>查阅</w:t>
      </w:r>
      <w:r>
        <w:rPr>
          <w:rFonts w:ascii="Times New Roman" w:hAnsi="Times New Roman" w:eastAsia="宋体" w:cs="Times New Roman"/>
          <w:kern w:val="2"/>
          <w:sz w:val="24"/>
          <w:szCs w:val="28"/>
          <w:lang w:val="en-US" w:eastAsia="zh-CN" w:bidi="ar-SA"/>
        </w:rPr>
        <w:t>控制功能设计表、控制策略流程图和运行记录等；</w:t>
      </w:r>
    </w:p>
    <w:p>
      <w:pPr>
        <w:widowControl w:val="0"/>
        <w:numPr>
          <w:ilvl w:val="0"/>
          <w:numId w:val="105"/>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SA"/>
        </w:rPr>
      </w:pPr>
      <w:r>
        <w:rPr>
          <w:rFonts w:ascii="Times New Roman" w:hAnsi="Times New Roman" w:eastAsia="宋体" w:cs="Times New Roman"/>
          <w:kern w:val="2"/>
          <w:sz w:val="24"/>
          <w:szCs w:val="28"/>
          <w:lang w:val="en-US" w:eastAsia="zh-CN" w:bidi="ar-SA"/>
        </w:rPr>
        <w:t>根据预置的控制逻辑，模拟调整冷水供回水压差或温差等设定值，冷水</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kern w:val="2"/>
          <w:sz w:val="24"/>
          <w:szCs w:val="28"/>
          <w:lang w:val="en-US" w:eastAsia="zh-CN" w:bidi="ar-SA"/>
        </w:rPr>
      </w:pPr>
      <w:r>
        <w:rPr>
          <w:rFonts w:ascii="Times New Roman" w:hAnsi="Times New Roman" w:eastAsia="宋体" w:cs="Times New Roman"/>
          <w:kern w:val="2"/>
          <w:sz w:val="24"/>
          <w:szCs w:val="28"/>
          <w:lang w:val="en-US" w:eastAsia="zh-CN" w:bidi="ar-SA"/>
        </w:rPr>
        <w:t>泵应实现自动变频调速功能。</w:t>
      </w:r>
    </w:p>
    <w:p>
      <w:pPr>
        <w:widowControl w:val="0"/>
        <w:numPr>
          <w:ilvl w:val="0"/>
          <w:numId w:val="104"/>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检验成果：冷水泵</w:t>
      </w:r>
      <w:r>
        <w:rPr>
          <w:rFonts w:ascii="Times New Roman" w:hAnsi="Times New Roman" w:eastAsia="宋体" w:cs="Times New Roman"/>
          <w:b w:val="0"/>
          <w:bCs/>
          <w:kern w:val="28"/>
          <w:sz w:val="24"/>
          <w:szCs w:val="32"/>
          <w:lang w:val="zh-CN" w:eastAsia="zh" w:bidi="ar-SA"/>
        </w:rPr>
        <w:t>运行效果</w:t>
      </w:r>
      <w:r>
        <w:rPr>
          <w:rFonts w:ascii="Times New Roman" w:hAnsi="Times New Roman" w:eastAsia="宋体" w:cs="Times New Roman"/>
          <w:b w:val="0"/>
          <w:bCs/>
          <w:kern w:val="28"/>
          <w:sz w:val="24"/>
          <w:szCs w:val="32"/>
          <w:lang w:val="zh-CN" w:eastAsia="zh-CN" w:bidi="ar-SA"/>
        </w:rPr>
        <w:t>检验报告。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7.1.10</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冷却水泵</w:t>
      </w:r>
      <w:r>
        <w:rPr>
          <w:rFonts w:ascii="Times New Roman" w:hAnsi="Times New Roman" w:eastAsia="宋体" w:cs="Times New Roman"/>
          <w:b w:val="0"/>
          <w:bCs/>
          <w:kern w:val="28"/>
          <w:sz w:val="24"/>
          <w:szCs w:val="32"/>
          <w:lang w:val="zh-CN" w:eastAsia="zh" w:bidi="ar-SA"/>
        </w:rPr>
        <w:t>运行效果</w:t>
      </w:r>
      <w:r>
        <w:rPr>
          <w:rFonts w:ascii="Times New Roman" w:hAnsi="Times New Roman" w:eastAsia="宋体" w:cs="Times New Roman"/>
          <w:b w:val="0"/>
          <w:bCs/>
          <w:kern w:val="28"/>
          <w:sz w:val="24"/>
          <w:szCs w:val="32"/>
          <w:lang w:val="zh-CN" w:eastAsia="zh-CN" w:bidi="ar-SA"/>
        </w:rPr>
        <w:t>的检验应符合下列规定：</w:t>
      </w:r>
    </w:p>
    <w:p>
      <w:pPr>
        <w:widowControl w:val="0"/>
        <w:numPr>
          <w:ilvl w:val="0"/>
          <w:numId w:val="106"/>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检验内容：冷却水泵</w:t>
      </w:r>
      <w:r>
        <w:rPr>
          <w:rFonts w:ascii="Times New Roman" w:hAnsi="Times New Roman" w:eastAsia="宋体" w:cs="Times New Roman"/>
          <w:b w:val="0"/>
          <w:bCs/>
          <w:kern w:val="28"/>
          <w:sz w:val="24"/>
          <w:szCs w:val="32"/>
          <w:lang w:val="zh-CN" w:eastAsia="zh" w:bidi="ar-SA"/>
        </w:rPr>
        <w:t>运行效果</w:t>
      </w:r>
      <w:r>
        <w:rPr>
          <w:rFonts w:ascii="Times New Roman" w:hAnsi="Times New Roman" w:eastAsia="宋体" w:cs="Times New Roman"/>
          <w:b w:val="0"/>
          <w:bCs/>
          <w:kern w:val="28"/>
          <w:sz w:val="24"/>
          <w:szCs w:val="32"/>
          <w:lang w:val="zh-CN" w:eastAsia="zh-CN" w:bidi="ar-SA"/>
        </w:rPr>
        <w:t>。</w:t>
      </w:r>
    </w:p>
    <w:p>
      <w:pPr>
        <w:widowControl w:val="0"/>
        <w:numPr>
          <w:ilvl w:val="0"/>
          <w:numId w:val="106"/>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val="0"/>
        <w:numPr>
          <w:ilvl w:val="0"/>
          <w:numId w:val="107"/>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SA"/>
        </w:rPr>
      </w:pPr>
      <w:r>
        <w:rPr>
          <w:rFonts w:hint="default" w:ascii="Times New Roman" w:hAnsi="Times New Roman" w:eastAsia="宋体" w:cs="Times New Roman"/>
          <w:kern w:val="2"/>
          <w:sz w:val="24"/>
          <w:szCs w:val="28"/>
          <w:lang w:val="en-US" w:eastAsia="zh-CN" w:bidi="ar-SA"/>
        </w:rPr>
        <w:t>查阅</w:t>
      </w:r>
      <w:r>
        <w:rPr>
          <w:rFonts w:ascii="Times New Roman" w:hAnsi="Times New Roman" w:eastAsia="宋体" w:cs="Times New Roman"/>
          <w:kern w:val="2"/>
          <w:sz w:val="24"/>
          <w:szCs w:val="28"/>
          <w:lang w:val="en-US" w:eastAsia="zh-CN" w:bidi="ar-SA"/>
        </w:rPr>
        <w:t>控制功能设计表、控制策略流程图和运行记录等；</w:t>
      </w:r>
    </w:p>
    <w:p>
      <w:pPr>
        <w:widowControl w:val="0"/>
        <w:numPr>
          <w:ilvl w:val="0"/>
          <w:numId w:val="107"/>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SA"/>
        </w:rPr>
      </w:pPr>
      <w:r>
        <w:rPr>
          <w:rFonts w:ascii="Times New Roman" w:hAnsi="Times New Roman" w:eastAsia="宋体" w:cs="Times New Roman"/>
          <w:kern w:val="2"/>
          <w:sz w:val="24"/>
          <w:szCs w:val="28"/>
          <w:lang w:val="en-US" w:eastAsia="zh-CN" w:bidi="ar-SA"/>
        </w:rPr>
        <w:t>根据预置的控制逻辑，模拟调整冷却水供回水温差或冷水机组冷凝压力</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kern w:val="2"/>
          <w:sz w:val="24"/>
          <w:szCs w:val="28"/>
          <w:lang w:val="en-US" w:eastAsia="zh-CN" w:bidi="ar-SA"/>
        </w:rPr>
      </w:pPr>
      <w:r>
        <w:rPr>
          <w:rFonts w:ascii="Times New Roman" w:hAnsi="Times New Roman" w:eastAsia="宋体" w:cs="Times New Roman"/>
          <w:kern w:val="2"/>
          <w:sz w:val="24"/>
          <w:szCs w:val="28"/>
          <w:lang w:val="en-US" w:eastAsia="zh-CN" w:bidi="ar-SA"/>
        </w:rPr>
        <w:t>等设定值，冷却水泵应实现自动变频调速功能。</w:t>
      </w:r>
    </w:p>
    <w:p>
      <w:pPr>
        <w:widowControl w:val="0"/>
        <w:numPr>
          <w:ilvl w:val="0"/>
          <w:numId w:val="106"/>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检验成果：冷却水泵</w:t>
      </w:r>
      <w:r>
        <w:rPr>
          <w:rFonts w:ascii="Times New Roman" w:hAnsi="Times New Roman" w:eastAsia="宋体" w:cs="Times New Roman"/>
          <w:b w:val="0"/>
          <w:bCs/>
          <w:kern w:val="28"/>
          <w:sz w:val="24"/>
          <w:szCs w:val="32"/>
          <w:lang w:val="zh-CN" w:eastAsia="zh" w:bidi="ar-SA"/>
        </w:rPr>
        <w:t>运行效果</w:t>
      </w:r>
      <w:r>
        <w:rPr>
          <w:rFonts w:ascii="Times New Roman" w:hAnsi="Times New Roman" w:eastAsia="宋体" w:cs="Times New Roman"/>
          <w:b w:val="0"/>
          <w:bCs/>
          <w:kern w:val="28"/>
          <w:sz w:val="24"/>
          <w:szCs w:val="32"/>
          <w:lang w:val="zh-CN" w:eastAsia="zh-CN" w:bidi="ar-SA"/>
        </w:rPr>
        <w:t>检验报告。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7.1.11</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冷却塔</w:t>
      </w:r>
      <w:r>
        <w:rPr>
          <w:rFonts w:ascii="Times New Roman" w:hAnsi="Times New Roman" w:eastAsia="宋体" w:cs="Times New Roman"/>
          <w:b w:val="0"/>
          <w:bCs/>
          <w:kern w:val="28"/>
          <w:sz w:val="24"/>
          <w:szCs w:val="32"/>
          <w:lang w:val="zh-CN" w:eastAsia="zh" w:bidi="ar-SA"/>
        </w:rPr>
        <w:t>运行效果</w:t>
      </w:r>
      <w:r>
        <w:rPr>
          <w:rFonts w:ascii="Times New Roman" w:hAnsi="Times New Roman" w:eastAsia="宋体" w:cs="Times New Roman"/>
          <w:b w:val="0"/>
          <w:bCs/>
          <w:kern w:val="28"/>
          <w:sz w:val="24"/>
          <w:szCs w:val="32"/>
          <w:lang w:val="zh-CN" w:eastAsia="zh-CN" w:bidi="ar-SA"/>
        </w:rPr>
        <w:t>的检验应符合下列规定：</w:t>
      </w:r>
    </w:p>
    <w:p>
      <w:pPr>
        <w:widowControl w:val="0"/>
        <w:numPr>
          <w:ilvl w:val="0"/>
          <w:numId w:val="108"/>
        </w:numPr>
        <w:spacing w:before="0" w:after="0" w:line="360" w:lineRule="auto"/>
        <w:ind w:left="0" w:firstLine="480" w:firstLineChars="200"/>
        <w:jc w:val="both"/>
        <w:outlineLvl w:val="9"/>
        <w:rPr>
          <w:rFonts w:ascii="Times New Roman" w:hAnsi="Times New Roman" w:eastAsia="宋体" w:cs="Times New Roman"/>
          <w:b w:val="0"/>
          <w:bCs w:val="0"/>
          <w:kern w:val="28"/>
          <w:sz w:val="24"/>
          <w:szCs w:val="32"/>
          <w:lang w:val="zh-CN" w:eastAsia="zh-CN" w:bidi="ar-SA"/>
        </w:rPr>
      </w:pPr>
      <w:r>
        <w:rPr>
          <w:rFonts w:ascii="Times New Roman" w:hAnsi="Times New Roman" w:eastAsia="宋体" w:cs="Times New Roman"/>
          <w:b w:val="0"/>
          <w:bCs w:val="0"/>
          <w:kern w:val="28"/>
          <w:sz w:val="24"/>
          <w:szCs w:val="32"/>
          <w:lang w:val="zh-CN" w:eastAsia="zh-CN" w:bidi="ar-SA"/>
        </w:rPr>
        <w:t>检验内容：冷却塔</w:t>
      </w:r>
      <w:r>
        <w:rPr>
          <w:rFonts w:ascii="Times New Roman" w:hAnsi="Times New Roman" w:eastAsia="宋体" w:cs="Times New Roman"/>
          <w:b w:val="0"/>
          <w:bCs/>
          <w:kern w:val="28"/>
          <w:sz w:val="24"/>
          <w:szCs w:val="32"/>
          <w:lang w:val="zh-CN" w:eastAsia="zh" w:bidi="ar-SA"/>
        </w:rPr>
        <w:t>运行效果</w:t>
      </w:r>
      <w:r>
        <w:rPr>
          <w:rFonts w:ascii="Times New Roman" w:hAnsi="Times New Roman" w:eastAsia="宋体" w:cs="Times New Roman"/>
          <w:b w:val="0"/>
          <w:bCs w:val="0"/>
          <w:kern w:val="28"/>
          <w:sz w:val="24"/>
          <w:szCs w:val="32"/>
          <w:lang w:val="zh-CN" w:eastAsia="zh-CN" w:bidi="ar-SA"/>
        </w:rPr>
        <w:t>。</w:t>
      </w:r>
    </w:p>
    <w:p>
      <w:pPr>
        <w:widowControl w:val="0"/>
        <w:numPr>
          <w:ilvl w:val="0"/>
          <w:numId w:val="108"/>
        </w:numPr>
        <w:spacing w:before="0" w:after="0" w:line="360" w:lineRule="auto"/>
        <w:ind w:left="0" w:firstLine="480" w:firstLineChars="200"/>
        <w:jc w:val="both"/>
        <w:outlineLvl w:val="9"/>
        <w:rPr>
          <w:rFonts w:ascii="Times New Roman" w:hAnsi="Times New Roman" w:eastAsia="宋体" w:cs="Times New Roman"/>
          <w:b w:val="0"/>
          <w:bCs w:val="0"/>
          <w:kern w:val="28"/>
          <w:sz w:val="24"/>
          <w:szCs w:val="32"/>
          <w:lang w:val="zh-CN" w:eastAsia="zh-CN" w:bidi="ar-SA"/>
        </w:rPr>
      </w:pPr>
      <w:r>
        <w:rPr>
          <w:rFonts w:ascii="Times New Roman" w:hAnsi="Times New Roman" w:eastAsia="宋体" w:cs="Times New Roman"/>
          <w:b w:val="0"/>
          <w:bCs w:val="0"/>
          <w:kern w:val="28"/>
          <w:sz w:val="24"/>
          <w:szCs w:val="32"/>
          <w:lang w:val="zh-CN" w:eastAsia="zh-CN" w:bidi="ar-SA"/>
        </w:rPr>
        <w:t>检验方法：</w:t>
      </w:r>
    </w:p>
    <w:p>
      <w:pPr>
        <w:widowControl w:val="0"/>
        <w:numPr>
          <w:ilvl w:val="0"/>
          <w:numId w:val="109"/>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SA"/>
        </w:rPr>
      </w:pPr>
      <w:r>
        <w:rPr>
          <w:rFonts w:hint="default" w:ascii="Times New Roman" w:hAnsi="Times New Roman" w:eastAsia="宋体" w:cs="Times New Roman"/>
          <w:kern w:val="2"/>
          <w:sz w:val="24"/>
          <w:szCs w:val="28"/>
          <w:lang w:val="en-US" w:eastAsia="zh-CN" w:bidi="ar-SA"/>
        </w:rPr>
        <w:t>查阅</w:t>
      </w:r>
      <w:r>
        <w:rPr>
          <w:rFonts w:ascii="Times New Roman" w:hAnsi="Times New Roman" w:eastAsia="宋体" w:cs="Times New Roman"/>
          <w:kern w:val="2"/>
          <w:sz w:val="24"/>
          <w:szCs w:val="28"/>
          <w:lang w:val="en-US" w:eastAsia="zh-CN" w:bidi="ar-SA"/>
        </w:rPr>
        <w:t>控制功能设计表、控制策略流程图和运行记录等；</w:t>
      </w:r>
    </w:p>
    <w:p>
      <w:pPr>
        <w:widowControl w:val="0"/>
        <w:numPr>
          <w:ilvl w:val="0"/>
          <w:numId w:val="109"/>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SA"/>
        </w:rPr>
      </w:pPr>
      <w:r>
        <w:rPr>
          <w:rFonts w:ascii="Times New Roman" w:hAnsi="Times New Roman" w:eastAsia="宋体" w:cs="Times New Roman"/>
          <w:kern w:val="2"/>
          <w:sz w:val="24"/>
          <w:szCs w:val="28"/>
          <w:lang w:val="en-US" w:eastAsia="zh-CN" w:bidi="ar-SA"/>
        </w:rPr>
        <w:t>根据预置的控制逻辑，模拟调整冷却塔出水温度设定值，冷却塔应实现</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kern w:val="2"/>
          <w:sz w:val="24"/>
          <w:szCs w:val="28"/>
          <w:lang w:val="en-US" w:eastAsia="zh-CN" w:bidi="ar-SA"/>
        </w:rPr>
      </w:pPr>
      <w:r>
        <w:rPr>
          <w:rFonts w:ascii="Times New Roman" w:hAnsi="Times New Roman" w:eastAsia="宋体" w:cs="Times New Roman"/>
          <w:kern w:val="2"/>
          <w:sz w:val="24"/>
          <w:szCs w:val="28"/>
          <w:lang w:val="en-US" w:eastAsia="zh-CN" w:bidi="ar-SA"/>
        </w:rPr>
        <w:t>风扇电机变频调速与启停功能。</w:t>
      </w:r>
    </w:p>
    <w:p>
      <w:pPr>
        <w:widowControl w:val="0"/>
        <w:numPr>
          <w:ilvl w:val="0"/>
          <w:numId w:val="108"/>
        </w:numPr>
        <w:spacing w:before="0" w:after="0" w:line="360" w:lineRule="auto"/>
        <w:ind w:left="0" w:firstLine="480" w:firstLineChars="200"/>
        <w:jc w:val="both"/>
        <w:outlineLvl w:val="9"/>
        <w:rPr>
          <w:rFonts w:ascii="Times New Roman" w:hAnsi="Times New Roman" w:eastAsia="宋体" w:cs="Times New Roman"/>
          <w:b w:val="0"/>
          <w:bCs w:val="0"/>
          <w:kern w:val="28"/>
          <w:sz w:val="24"/>
          <w:szCs w:val="32"/>
          <w:lang w:val="zh-CN" w:eastAsia="zh-CN" w:bidi="ar-SA"/>
        </w:rPr>
      </w:pPr>
      <w:r>
        <w:rPr>
          <w:rFonts w:ascii="Times New Roman" w:hAnsi="Times New Roman" w:eastAsia="宋体" w:cs="Times New Roman"/>
          <w:b w:val="0"/>
          <w:bCs w:val="0"/>
          <w:kern w:val="28"/>
          <w:sz w:val="24"/>
          <w:szCs w:val="32"/>
          <w:lang w:val="zh-CN" w:eastAsia="zh-CN" w:bidi="ar-SA"/>
        </w:rPr>
        <w:t>检验成果：冷却塔</w:t>
      </w:r>
      <w:r>
        <w:rPr>
          <w:rFonts w:ascii="Times New Roman" w:hAnsi="Times New Roman" w:eastAsia="宋体" w:cs="Times New Roman"/>
          <w:b w:val="0"/>
          <w:bCs/>
          <w:kern w:val="28"/>
          <w:sz w:val="24"/>
          <w:szCs w:val="32"/>
          <w:lang w:val="zh-CN" w:eastAsia="zh" w:bidi="ar-SA"/>
        </w:rPr>
        <w:t>运行效果</w:t>
      </w:r>
      <w:r>
        <w:rPr>
          <w:rFonts w:ascii="Times New Roman" w:hAnsi="Times New Roman" w:eastAsia="宋体" w:cs="Times New Roman"/>
          <w:b w:val="0"/>
          <w:bCs w:val="0"/>
          <w:kern w:val="28"/>
          <w:sz w:val="24"/>
          <w:szCs w:val="32"/>
          <w:lang w:val="zh-CN" w:eastAsia="zh-CN" w:bidi="ar-SA"/>
        </w:rPr>
        <w:t>检验报告。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7.1.12</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空调箱</w:t>
      </w:r>
      <w:r>
        <w:rPr>
          <w:rFonts w:ascii="Times New Roman" w:hAnsi="Times New Roman" w:eastAsia="宋体" w:cs="Times New Roman"/>
          <w:b w:val="0"/>
          <w:bCs/>
          <w:kern w:val="28"/>
          <w:sz w:val="24"/>
          <w:szCs w:val="32"/>
          <w:lang w:val="zh-CN" w:eastAsia="zh" w:bidi="ar-SA"/>
        </w:rPr>
        <w:t>运行效果</w:t>
      </w:r>
      <w:r>
        <w:rPr>
          <w:rFonts w:ascii="Times New Roman" w:hAnsi="Times New Roman" w:eastAsia="宋体" w:cs="Times New Roman"/>
          <w:b w:val="0"/>
          <w:bCs/>
          <w:kern w:val="28"/>
          <w:sz w:val="24"/>
          <w:szCs w:val="32"/>
          <w:lang w:val="zh-CN" w:eastAsia="zh-CN" w:bidi="ar-SA"/>
        </w:rPr>
        <w:t>的检验应符合下列规定：</w:t>
      </w:r>
    </w:p>
    <w:p>
      <w:pPr>
        <w:widowControl w:val="0"/>
        <w:numPr>
          <w:ilvl w:val="0"/>
          <w:numId w:val="110"/>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检验内容：空调箱</w:t>
      </w:r>
      <w:r>
        <w:rPr>
          <w:rFonts w:ascii="Times New Roman" w:hAnsi="Times New Roman" w:eastAsia="宋体" w:cs="Times New Roman"/>
          <w:b w:val="0"/>
          <w:bCs/>
          <w:kern w:val="28"/>
          <w:sz w:val="24"/>
          <w:szCs w:val="32"/>
          <w:lang w:val="zh-CN" w:eastAsia="zh" w:bidi="ar-SA"/>
        </w:rPr>
        <w:t>运行效果</w:t>
      </w:r>
      <w:r>
        <w:rPr>
          <w:rFonts w:ascii="Times New Roman" w:hAnsi="Times New Roman" w:eastAsia="宋体" w:cs="Times New Roman"/>
          <w:b w:val="0"/>
          <w:bCs/>
          <w:kern w:val="28"/>
          <w:sz w:val="24"/>
          <w:szCs w:val="32"/>
          <w:lang w:val="zh-CN" w:eastAsia="zh-CN" w:bidi="ar-SA"/>
        </w:rPr>
        <w:t>。</w:t>
      </w:r>
    </w:p>
    <w:p>
      <w:pPr>
        <w:widowControl w:val="0"/>
        <w:numPr>
          <w:ilvl w:val="0"/>
          <w:numId w:val="110"/>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val="0"/>
        <w:numPr>
          <w:ilvl w:val="0"/>
          <w:numId w:val="111"/>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SA"/>
        </w:rPr>
      </w:pPr>
      <w:r>
        <w:rPr>
          <w:rFonts w:hint="default" w:ascii="Times New Roman" w:hAnsi="Times New Roman" w:eastAsia="宋体" w:cs="Times New Roman"/>
          <w:kern w:val="2"/>
          <w:sz w:val="24"/>
          <w:szCs w:val="28"/>
          <w:lang w:val="en-US" w:eastAsia="zh-CN" w:bidi="ar-SA"/>
        </w:rPr>
        <w:t>查阅</w:t>
      </w:r>
      <w:r>
        <w:rPr>
          <w:rFonts w:ascii="Times New Roman" w:hAnsi="Times New Roman" w:eastAsia="宋体" w:cs="Times New Roman"/>
          <w:kern w:val="2"/>
          <w:sz w:val="24"/>
          <w:szCs w:val="28"/>
          <w:lang w:val="en-US" w:eastAsia="zh-CN" w:bidi="ar-SA"/>
        </w:rPr>
        <w:t>控制功能设计表、控制策略流程图和运行记录等；</w:t>
      </w:r>
    </w:p>
    <w:p>
      <w:pPr>
        <w:widowControl w:val="0"/>
        <w:numPr>
          <w:ilvl w:val="0"/>
          <w:numId w:val="111"/>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SA"/>
        </w:rPr>
      </w:pPr>
      <w:r>
        <w:rPr>
          <w:rFonts w:ascii="Times New Roman" w:hAnsi="Times New Roman" w:eastAsia="宋体" w:cs="Times New Roman"/>
          <w:kern w:val="2"/>
          <w:sz w:val="24"/>
          <w:szCs w:val="28"/>
          <w:lang w:val="en-US" w:eastAsia="zh-CN" w:bidi="ar-SA"/>
        </w:rPr>
        <w:t>根据预置的控制逻辑，模拟调整送风温度设定值和回风温度，应实现水</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kern w:val="2"/>
          <w:sz w:val="24"/>
          <w:szCs w:val="28"/>
          <w:lang w:val="en-US" w:eastAsia="zh-CN" w:bidi="ar-SA"/>
        </w:rPr>
      </w:pPr>
      <w:r>
        <w:rPr>
          <w:rFonts w:ascii="Times New Roman" w:hAnsi="Times New Roman" w:eastAsia="宋体" w:cs="Times New Roman"/>
          <w:kern w:val="2"/>
          <w:sz w:val="24"/>
          <w:szCs w:val="28"/>
          <w:lang w:val="en-US" w:eastAsia="zh-CN" w:bidi="ar-SA"/>
        </w:rPr>
        <w:t>阀开度自动调节功能和送风机频率自动调节功能。</w:t>
      </w:r>
    </w:p>
    <w:p>
      <w:pPr>
        <w:widowControl w:val="0"/>
        <w:numPr>
          <w:ilvl w:val="0"/>
          <w:numId w:val="110"/>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检验成果：空调箱</w:t>
      </w:r>
      <w:r>
        <w:rPr>
          <w:rFonts w:ascii="Times New Roman" w:hAnsi="Times New Roman" w:eastAsia="宋体" w:cs="Times New Roman"/>
          <w:b w:val="0"/>
          <w:bCs/>
          <w:kern w:val="28"/>
          <w:sz w:val="24"/>
          <w:szCs w:val="32"/>
          <w:lang w:val="zh-CN" w:eastAsia="zh" w:bidi="ar-SA"/>
        </w:rPr>
        <w:t>运行效果</w:t>
      </w:r>
      <w:r>
        <w:rPr>
          <w:rFonts w:ascii="Times New Roman" w:hAnsi="Times New Roman" w:eastAsia="宋体" w:cs="Times New Roman"/>
          <w:b w:val="0"/>
          <w:bCs/>
          <w:kern w:val="28"/>
          <w:sz w:val="24"/>
          <w:szCs w:val="32"/>
          <w:lang w:val="zh-CN" w:eastAsia="zh-CN" w:bidi="ar-SA"/>
        </w:rPr>
        <w:t>检验报告。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7.1.13</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新风系统优化运行的检验应符合下列规定：</w:t>
      </w:r>
    </w:p>
    <w:p>
      <w:pPr>
        <w:widowControl w:val="0"/>
        <w:numPr>
          <w:ilvl w:val="0"/>
          <w:numId w:val="112"/>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检验内容：新风系统优化运行。</w:t>
      </w:r>
    </w:p>
    <w:p>
      <w:pPr>
        <w:widowControl w:val="0"/>
        <w:numPr>
          <w:ilvl w:val="0"/>
          <w:numId w:val="112"/>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val="0"/>
        <w:numPr>
          <w:ilvl w:val="0"/>
          <w:numId w:val="113"/>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SA"/>
        </w:rPr>
      </w:pPr>
      <w:r>
        <w:rPr>
          <w:rFonts w:ascii="Times New Roman" w:hAnsi="Times New Roman" w:eastAsia="宋体" w:cs="Times New Roman"/>
          <w:kern w:val="2"/>
          <w:sz w:val="24"/>
          <w:szCs w:val="28"/>
          <w:lang w:val="en-US" w:eastAsia="zh-CN" w:bidi="ar-SA"/>
        </w:rPr>
        <w:t>查阅控制功能设计表、控制策略流程图和运行记录等；</w:t>
      </w:r>
    </w:p>
    <w:p>
      <w:pPr>
        <w:widowControl w:val="0"/>
        <w:numPr>
          <w:ilvl w:val="0"/>
          <w:numId w:val="113"/>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SA"/>
        </w:rPr>
      </w:pPr>
      <w:r>
        <w:rPr>
          <w:rFonts w:ascii="Times New Roman" w:hAnsi="Times New Roman" w:eastAsia="宋体" w:cs="Times New Roman"/>
          <w:kern w:val="2"/>
          <w:sz w:val="24"/>
          <w:szCs w:val="28"/>
          <w:lang w:val="en-US" w:eastAsia="zh-CN" w:bidi="ar-SA"/>
        </w:rPr>
        <w:t>根据预置的控制逻辑，模拟调整建筑室内 CO2浓度、室内外温度或现</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kern w:val="2"/>
          <w:sz w:val="24"/>
          <w:szCs w:val="28"/>
          <w:lang w:val="en-US" w:eastAsia="zh-CN" w:bidi="ar-SA"/>
        </w:rPr>
      </w:pPr>
      <w:r>
        <w:rPr>
          <w:rFonts w:ascii="Times New Roman" w:hAnsi="Times New Roman" w:eastAsia="宋体" w:cs="Times New Roman"/>
          <w:kern w:val="2"/>
          <w:sz w:val="24"/>
          <w:szCs w:val="28"/>
          <w:lang w:val="en-US" w:eastAsia="zh-CN" w:bidi="ar-SA"/>
        </w:rPr>
        <w:t>场区域压差等，新风系统应实现新风比自动调节功能。</w:t>
      </w:r>
    </w:p>
    <w:p>
      <w:pPr>
        <w:widowControl w:val="0"/>
        <w:numPr>
          <w:ilvl w:val="0"/>
          <w:numId w:val="112"/>
        </w:numPr>
        <w:spacing w:before="0" w:after="0" w:line="360" w:lineRule="auto"/>
        <w:ind w:left="0" w:firstLine="480" w:firstLineChars="200"/>
        <w:jc w:val="both"/>
        <w:outlineLvl w:val="9"/>
        <w:rPr>
          <w:rFonts w:ascii="Times New Roman" w:hAnsi="Times New Roman" w:eastAsia="黑体" w:cs="Times New Roman"/>
          <w:b/>
          <w:bCs/>
          <w:kern w:val="28"/>
          <w:sz w:val="20"/>
          <w:szCs w:val="32"/>
          <w:lang w:val="zh-CN" w:eastAsia="zh-CN" w:bidi="ar-SA"/>
        </w:rPr>
      </w:pPr>
      <w:r>
        <w:rPr>
          <w:rFonts w:ascii="Times New Roman" w:hAnsi="Times New Roman" w:eastAsia="宋体" w:cs="Times New Roman"/>
          <w:b w:val="0"/>
          <w:bCs/>
          <w:kern w:val="28"/>
          <w:sz w:val="24"/>
          <w:szCs w:val="32"/>
          <w:lang w:val="zh-CN" w:eastAsia="zh-CN" w:bidi="ar-SA"/>
        </w:rPr>
        <w:t>检验成果：新风系统优化运行检验报告。</w:t>
      </w:r>
    </w:p>
    <w:p>
      <w:pPr>
        <w:widowControl w:val="0"/>
        <w:numPr>
          <w:ilvl w:val="2"/>
          <w:numId w:val="0"/>
        </w:numPr>
        <w:spacing w:before="0" w:after="0" w:line="360" w:lineRule="auto"/>
        <w:jc w:val="both"/>
        <w:outlineLvl w:val="9"/>
        <w:rPr>
          <w:rFonts w:ascii="Times New Roman" w:hAnsi="Times New Roman" w:eastAsia="宋体" w:cs="Times New Roman"/>
          <w:b/>
          <w:bCs/>
          <w:kern w:val="28"/>
          <w:sz w:val="24"/>
          <w:szCs w:val="28"/>
          <w:lang w:val="zh-CN" w:eastAsia="zh-CN" w:bidi="ar-SA"/>
        </w:rPr>
      </w:pPr>
      <w:r>
        <w:rPr>
          <w:rFonts w:hint="default" w:ascii="Times New Roman" w:hAnsi="Times New Roman" w:eastAsia="宋体" w:cs="Times New Roman"/>
          <w:b/>
          <w:bCs/>
          <w:color w:val="auto"/>
          <w:kern w:val="28"/>
          <w:sz w:val="24"/>
          <w:szCs w:val="24"/>
          <w:lang w:val="zh-CN" w:eastAsia="zh-CN" w:bidi="ar-SA"/>
        </w:rPr>
        <w:t>7.1.14</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灯具效率的检验应符合下列规定：</w:t>
      </w:r>
    </w:p>
    <w:p>
      <w:pPr>
        <w:widowControl w:val="0"/>
        <w:numPr>
          <w:ilvl w:val="0"/>
          <w:numId w:val="114"/>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检验内容：灯具效率。</w:t>
      </w:r>
    </w:p>
    <w:p>
      <w:pPr>
        <w:widowControl w:val="0"/>
        <w:numPr>
          <w:ilvl w:val="0"/>
          <w:numId w:val="114"/>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val="0"/>
        <w:numPr>
          <w:ilvl w:val="0"/>
          <w:numId w:val="115"/>
        </w:numPr>
        <w:adjustRightInd w:val="0"/>
        <w:spacing w:line="360" w:lineRule="auto"/>
        <w:ind w:left="0" w:firstLine="567"/>
        <w:jc w:val="both"/>
        <w:outlineLvl w:val="9"/>
        <w:rPr>
          <w:rFonts w:ascii="Times New Roman" w:hAnsi="Times New Roman" w:cs="Times New Roman"/>
          <w:sz w:val="24"/>
          <w:szCs w:val="28"/>
        </w:rPr>
      </w:pPr>
      <w:r>
        <w:rPr>
          <w:rFonts w:ascii="Times New Roman" w:hAnsi="Times New Roman" w:cs="Times New Roman"/>
          <w:sz w:val="24"/>
          <w:szCs w:val="28"/>
          <w:lang w:eastAsia="zh-CN"/>
        </w:rPr>
        <w:t>现场核查灯具效率等级，</w:t>
      </w:r>
      <w:r>
        <w:rPr>
          <w:rFonts w:ascii="Times New Roman" w:hAnsi="Times New Roman" w:cs="Times New Roman"/>
          <w:sz w:val="24"/>
          <w:szCs w:val="28"/>
          <w:lang w:bidi="ar-SA"/>
        </w:rPr>
        <w:t>对有疑问或中途更换的灯具类型，</w:t>
      </w:r>
      <w:r>
        <w:rPr>
          <w:rFonts w:ascii="Times New Roman" w:hAnsi="Times New Roman" w:cs="Times New Roman"/>
          <w:sz w:val="24"/>
          <w:szCs w:val="28"/>
        </w:rPr>
        <w:t xml:space="preserve">应至少抽取 1 </w:t>
      </w:r>
    </w:p>
    <w:p>
      <w:pPr>
        <w:widowControl w:val="0"/>
        <w:numPr>
          <w:ilvl w:val="-1"/>
          <w:numId w:val="0"/>
        </w:numPr>
        <w:adjustRightInd w:val="0"/>
        <w:spacing w:line="360" w:lineRule="auto"/>
        <w:ind w:left="567" w:firstLine="240" w:firstLineChars="100"/>
        <w:jc w:val="both"/>
        <w:outlineLvl w:val="9"/>
        <w:rPr>
          <w:rFonts w:ascii="Times New Roman" w:hAnsi="Times New Roman" w:cs="Times New Roman"/>
          <w:sz w:val="24"/>
          <w:szCs w:val="28"/>
        </w:rPr>
      </w:pPr>
      <w:r>
        <w:rPr>
          <w:rFonts w:ascii="Times New Roman" w:hAnsi="Times New Roman" w:cs="Times New Roman"/>
          <w:sz w:val="24"/>
          <w:szCs w:val="28"/>
        </w:rPr>
        <w:t>套进行检验；</w:t>
      </w:r>
    </w:p>
    <w:p>
      <w:pPr>
        <w:widowControl w:val="0"/>
        <w:numPr>
          <w:ilvl w:val="0"/>
          <w:numId w:val="115"/>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SA"/>
        </w:rPr>
      </w:pPr>
      <w:r>
        <w:rPr>
          <w:rFonts w:ascii="Times New Roman" w:hAnsi="Times New Roman" w:eastAsia="宋体" w:cs="Times New Roman"/>
          <w:kern w:val="2"/>
          <w:sz w:val="24"/>
          <w:szCs w:val="28"/>
          <w:lang w:val="en-US" w:eastAsia="zh-CN" w:bidi="ar-SA"/>
        </w:rPr>
        <w:t xml:space="preserve">检测方法应符合现行国家标准《灯具分布光度测量的一般要求》GB/T </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kern w:val="2"/>
          <w:sz w:val="24"/>
          <w:szCs w:val="28"/>
          <w:lang w:val="en-US" w:eastAsia="zh-CN" w:bidi="ar-SA"/>
        </w:rPr>
      </w:pPr>
      <w:r>
        <w:rPr>
          <w:rFonts w:ascii="Times New Roman" w:hAnsi="Times New Roman" w:eastAsia="宋体" w:cs="Times New Roman"/>
          <w:kern w:val="2"/>
          <w:sz w:val="24"/>
          <w:szCs w:val="28"/>
          <w:lang w:val="en-US" w:eastAsia="zh-CN" w:bidi="ar-SA"/>
        </w:rPr>
        <w:t>9468的相关规定。</w:t>
      </w:r>
    </w:p>
    <w:p>
      <w:pPr>
        <w:widowControl w:val="0"/>
        <w:numPr>
          <w:ilvl w:val="0"/>
          <w:numId w:val="114"/>
        </w:numPr>
        <w:spacing w:before="0" w:after="0" w:line="360" w:lineRule="auto"/>
        <w:ind w:left="0" w:firstLine="480" w:firstLineChars="200"/>
        <w:jc w:val="both"/>
        <w:outlineLvl w:val="9"/>
        <w:rPr>
          <w:rFonts w:ascii="Times New Roman" w:hAnsi="Times New Roman" w:eastAsia="黑体" w:cs="Times New Roman"/>
          <w:b/>
          <w:bCs/>
          <w:kern w:val="28"/>
          <w:sz w:val="20"/>
          <w:szCs w:val="32"/>
          <w:lang w:val="zh-CN" w:eastAsia="zh-CN" w:bidi="ar-SA"/>
        </w:rPr>
      </w:pPr>
      <w:r>
        <w:rPr>
          <w:rFonts w:ascii="Times New Roman" w:hAnsi="Times New Roman" w:eastAsia="宋体" w:cs="Times New Roman"/>
          <w:b w:val="0"/>
          <w:bCs/>
          <w:kern w:val="28"/>
          <w:sz w:val="24"/>
          <w:szCs w:val="32"/>
          <w:lang w:val="zh-CN" w:eastAsia="zh-CN" w:bidi="ar-SA"/>
        </w:rPr>
        <w:t>检验成果：灯具效率检验报告。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7.1.15</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谐波含量的检验应符合下列规定：</w:t>
      </w:r>
    </w:p>
    <w:p>
      <w:pPr>
        <w:widowControl w:val="0"/>
        <w:numPr>
          <w:ilvl w:val="0"/>
          <w:numId w:val="116"/>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检验内容：谐波电压和谐波电流。</w:t>
      </w:r>
    </w:p>
    <w:p>
      <w:pPr>
        <w:widowControl w:val="0"/>
        <w:numPr>
          <w:ilvl w:val="0"/>
          <w:numId w:val="116"/>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val="0"/>
        <w:numPr>
          <w:ilvl w:val="0"/>
          <w:numId w:val="117"/>
        </w:numPr>
        <w:adjustRightInd w:val="0"/>
        <w:spacing w:line="360" w:lineRule="auto"/>
        <w:ind w:left="0" w:firstLine="567"/>
        <w:jc w:val="both"/>
        <w:outlineLvl w:val="9"/>
        <w:rPr>
          <w:rFonts w:ascii="Times New Roman" w:hAnsi="Times New Roman" w:cs="Times New Roman"/>
          <w:sz w:val="24"/>
          <w:szCs w:val="28"/>
        </w:rPr>
      </w:pPr>
      <w:r>
        <w:rPr>
          <w:rFonts w:ascii="Times New Roman" w:hAnsi="Times New Roman" w:cs="Times New Roman"/>
          <w:sz w:val="24"/>
          <w:szCs w:val="28"/>
          <w:lang w:bidi="ar"/>
        </w:rPr>
        <w:t>变压器主进线回路应抽检总数量5%，且不得少于2个回路</w:t>
      </w:r>
      <w:r>
        <w:rPr>
          <w:rFonts w:ascii="Times New Roman" w:hAnsi="Times New Roman" w:cs="Times New Roman"/>
          <w:sz w:val="24"/>
          <w:szCs w:val="28"/>
        </w:rPr>
        <w:t>；</w:t>
      </w:r>
    </w:p>
    <w:p>
      <w:pPr>
        <w:widowControl w:val="0"/>
        <w:numPr>
          <w:ilvl w:val="0"/>
          <w:numId w:val="117"/>
        </w:numPr>
        <w:adjustRightInd w:val="0"/>
        <w:spacing w:line="360" w:lineRule="auto"/>
        <w:ind w:left="0" w:firstLine="567"/>
        <w:jc w:val="both"/>
        <w:outlineLvl w:val="9"/>
        <w:rPr>
          <w:rFonts w:ascii="Times New Roman" w:hAnsi="Times New Roman" w:cs="Times New Roman"/>
          <w:sz w:val="24"/>
          <w:szCs w:val="28"/>
        </w:rPr>
      </w:pPr>
      <w:r>
        <w:rPr>
          <w:rFonts w:ascii="Times New Roman" w:hAnsi="Times New Roman" w:cs="Times New Roman"/>
          <w:sz w:val="24"/>
          <w:szCs w:val="28"/>
          <w:lang w:bidi="ar"/>
        </w:rPr>
        <w:t>照明、大型 UPS 回路应抽测总数量的 2%，且不得少于 1 个回路</w:t>
      </w:r>
      <w:r>
        <w:rPr>
          <w:rFonts w:ascii="Times New Roman" w:hAnsi="Times New Roman" w:cs="Times New Roman"/>
          <w:sz w:val="24"/>
          <w:szCs w:val="28"/>
        </w:rPr>
        <w:t>；</w:t>
      </w:r>
    </w:p>
    <w:p>
      <w:pPr>
        <w:widowControl w:val="0"/>
        <w:numPr>
          <w:ilvl w:val="0"/>
          <w:numId w:val="117"/>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SA"/>
        </w:rPr>
      </w:pPr>
      <w:r>
        <w:rPr>
          <w:rFonts w:ascii="Times New Roman" w:hAnsi="Times New Roman" w:eastAsia="宋体" w:cs="Times New Roman"/>
          <w:kern w:val="2"/>
          <w:sz w:val="24"/>
          <w:szCs w:val="28"/>
          <w:lang w:val="en-US" w:eastAsia="zh-CN" w:bidi="ar-SA"/>
        </w:rPr>
        <w:t>检测方法应符合现行行业标准《建筑节能工程施工质量验收标准》SJG</w:t>
      </w:r>
      <w:r>
        <w:rPr>
          <w:rFonts w:hint="default" w:cs="Times New Roman"/>
          <w:kern w:val="2"/>
          <w:sz w:val="24"/>
          <w:szCs w:val="28"/>
          <w:lang w:val="en-US" w:eastAsia="zh-CN" w:bidi="ar-SA"/>
        </w:rPr>
        <w:t xml:space="preserve"> </w:t>
      </w:r>
      <w:r>
        <w:rPr>
          <w:rFonts w:hint="eastAsia" w:cs="Times New Roman"/>
          <w:kern w:val="2"/>
          <w:sz w:val="24"/>
          <w:szCs w:val="28"/>
          <w:lang w:val="en-US" w:eastAsia="zh-CN" w:bidi="ar-SA"/>
        </w:rPr>
        <w:t xml:space="preserve"> </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kern w:val="2"/>
          <w:sz w:val="24"/>
          <w:szCs w:val="28"/>
          <w:lang w:val="en-US" w:eastAsia="zh-CN" w:bidi="ar-SA"/>
        </w:rPr>
      </w:pPr>
      <w:r>
        <w:rPr>
          <w:rFonts w:ascii="Times New Roman" w:hAnsi="Times New Roman" w:eastAsia="宋体" w:cs="Times New Roman"/>
          <w:kern w:val="2"/>
          <w:sz w:val="24"/>
          <w:szCs w:val="28"/>
          <w:lang w:val="en-US" w:eastAsia="zh-CN" w:bidi="ar-SA"/>
        </w:rPr>
        <w:t>141的相关规定。</w:t>
      </w:r>
    </w:p>
    <w:p>
      <w:pPr>
        <w:widowControl w:val="0"/>
        <w:numPr>
          <w:ilvl w:val="0"/>
          <w:numId w:val="116"/>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检验成果：谐波含量检验报告。</w:t>
      </w:r>
    </w:p>
    <w:p>
      <w:pPr>
        <w:widowControl w:val="0"/>
        <w:numPr>
          <w:ilvl w:val="2"/>
          <w:numId w:val="0"/>
        </w:numPr>
        <w:spacing w:before="0" w:after="0" w:line="360" w:lineRule="auto"/>
        <w:jc w:val="both"/>
        <w:outlineLvl w:val="9"/>
        <w:rPr>
          <w:rFonts w:ascii="Times New Roman" w:hAnsi="Times New Roman" w:eastAsia="宋体" w:cs="Times New Roman"/>
          <w:b/>
          <w:bCs/>
          <w:kern w:val="28"/>
          <w:sz w:val="24"/>
          <w:szCs w:val="28"/>
          <w:lang w:val="zh-CN" w:eastAsia="zh-CN" w:bidi="ar-SA"/>
        </w:rPr>
      </w:pPr>
      <w:r>
        <w:rPr>
          <w:rFonts w:hint="default" w:ascii="Times New Roman" w:hAnsi="Times New Roman" w:eastAsia="宋体" w:cs="Times New Roman"/>
          <w:b/>
          <w:bCs/>
          <w:color w:val="auto"/>
          <w:kern w:val="28"/>
          <w:sz w:val="24"/>
          <w:szCs w:val="24"/>
          <w:lang w:val="zh-CN" w:eastAsia="zh-CN" w:bidi="ar-SA"/>
        </w:rPr>
        <w:t>7.1.16</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变压器能效的检验应符合下列规定：</w:t>
      </w:r>
    </w:p>
    <w:p>
      <w:pPr>
        <w:widowControl w:val="0"/>
        <w:numPr>
          <w:ilvl w:val="0"/>
          <w:numId w:val="118"/>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检验内容：变压器节能性能指标、空载损耗和负载损耗。</w:t>
      </w:r>
    </w:p>
    <w:p>
      <w:pPr>
        <w:widowControl w:val="0"/>
        <w:numPr>
          <w:ilvl w:val="0"/>
          <w:numId w:val="118"/>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val="0"/>
        <w:numPr>
          <w:ilvl w:val="0"/>
          <w:numId w:val="119"/>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
        </w:rPr>
      </w:pPr>
      <w:r>
        <w:rPr>
          <w:rFonts w:hint="default" w:ascii="Times New Roman" w:hAnsi="Times New Roman" w:eastAsia="宋体" w:cs="Times New Roman"/>
          <w:kern w:val="2"/>
          <w:sz w:val="24"/>
          <w:szCs w:val="28"/>
          <w:lang w:val="en-US" w:eastAsia="zh-CN" w:bidi="ar"/>
        </w:rPr>
        <w:t>查阅</w:t>
      </w:r>
      <w:r>
        <w:rPr>
          <w:rFonts w:ascii="Times New Roman" w:hAnsi="Times New Roman" w:eastAsia="宋体" w:cs="Times New Roman"/>
          <w:kern w:val="2"/>
          <w:sz w:val="24"/>
          <w:szCs w:val="28"/>
          <w:lang w:val="en-US" w:eastAsia="zh-CN" w:bidi="ar"/>
        </w:rPr>
        <w:t>变压器型式检验报告；</w:t>
      </w:r>
    </w:p>
    <w:p>
      <w:pPr>
        <w:widowControl w:val="0"/>
        <w:numPr>
          <w:ilvl w:val="0"/>
          <w:numId w:val="119"/>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kern w:val="2"/>
          <w:sz w:val="24"/>
          <w:szCs w:val="28"/>
          <w:lang w:val="en-US" w:eastAsia="zh-CN" w:bidi="ar"/>
        </w:rPr>
        <w:t>变压器能效应符合现行国家标准《三相配电变压器能效限定值及能效等</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kern w:val="2"/>
          <w:sz w:val="24"/>
          <w:szCs w:val="28"/>
          <w:lang w:val="en-US" w:eastAsia="zh-CN" w:bidi="ar"/>
        </w:rPr>
        <w:t>级》GB 20052 规定的2级及以上能效要求。</w:t>
      </w:r>
    </w:p>
    <w:p>
      <w:pPr>
        <w:widowControl w:val="0"/>
        <w:numPr>
          <w:ilvl w:val="0"/>
          <w:numId w:val="118"/>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检验成果：变压器能效检验报告。</w:t>
      </w:r>
    </w:p>
    <w:p>
      <w:pPr>
        <w:widowControl w:val="0"/>
        <w:numPr>
          <w:ilvl w:val="2"/>
          <w:numId w:val="0"/>
        </w:numPr>
        <w:spacing w:before="0" w:after="0" w:line="360" w:lineRule="auto"/>
        <w:jc w:val="both"/>
        <w:outlineLvl w:val="9"/>
        <w:rPr>
          <w:rFonts w:ascii="Times New Roman" w:hAnsi="Times New Roman" w:eastAsia="宋体" w:cs="Times New Roman"/>
          <w:b/>
          <w:bCs/>
          <w:kern w:val="28"/>
          <w:sz w:val="24"/>
          <w:szCs w:val="28"/>
          <w:lang w:val="zh-CN" w:eastAsia="zh-CN" w:bidi="ar-SA"/>
        </w:rPr>
      </w:pPr>
      <w:r>
        <w:rPr>
          <w:rFonts w:hint="default" w:ascii="Times New Roman" w:hAnsi="Times New Roman" w:eastAsia="宋体" w:cs="Times New Roman"/>
          <w:b/>
          <w:bCs/>
          <w:color w:val="auto"/>
          <w:kern w:val="28"/>
          <w:sz w:val="24"/>
          <w:szCs w:val="24"/>
          <w:lang w:val="zh-CN" w:eastAsia="zh-CN" w:bidi="ar-SA"/>
        </w:rPr>
        <w:t>7.1.17</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建筑能耗指标的检验应符合下列规定：</w:t>
      </w:r>
    </w:p>
    <w:p>
      <w:pPr>
        <w:widowControl w:val="0"/>
        <w:numPr>
          <w:ilvl w:val="0"/>
          <w:numId w:val="120"/>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检验内容：建筑能源供应端的各类能源消耗量和消耗账单或已接入深圳 市建筑能耗管理系统的数据分析报告。</w:t>
      </w:r>
    </w:p>
    <w:p>
      <w:pPr>
        <w:widowControl w:val="0"/>
        <w:numPr>
          <w:ilvl w:val="0"/>
          <w:numId w:val="120"/>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val="0"/>
        <w:numPr>
          <w:ilvl w:val="0"/>
          <w:numId w:val="121"/>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kern w:val="2"/>
          <w:sz w:val="24"/>
          <w:szCs w:val="28"/>
          <w:lang w:val="en-US" w:eastAsia="zh-CN" w:bidi="ar"/>
        </w:rPr>
        <w:t>查阅连续 1 年的建筑运行和能源消耗数据；</w:t>
      </w:r>
    </w:p>
    <w:p>
      <w:pPr>
        <w:widowControl w:val="0"/>
        <w:numPr>
          <w:ilvl w:val="0"/>
          <w:numId w:val="121"/>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kern w:val="2"/>
          <w:sz w:val="24"/>
          <w:szCs w:val="28"/>
          <w:lang w:val="en-US" w:eastAsia="zh-CN" w:bidi="ar"/>
        </w:rPr>
        <w:t>结果应符合现行国家标准《民用建筑能耗标准》GB/T 51161 和现行地方</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kern w:val="2"/>
          <w:sz w:val="24"/>
          <w:szCs w:val="28"/>
          <w:lang w:val="en-US" w:eastAsia="zh-CN" w:bidi="ar"/>
        </w:rPr>
        <w:t>标准《深圳市公共建筑能耗标准》SJG34 的规定。</w:t>
      </w:r>
    </w:p>
    <w:p>
      <w:pPr>
        <w:widowControl w:val="0"/>
        <w:numPr>
          <w:ilvl w:val="0"/>
          <w:numId w:val="120"/>
        </w:numPr>
        <w:spacing w:before="0" w:after="0" w:line="360" w:lineRule="auto"/>
        <w:ind w:left="0" w:firstLine="480" w:firstLineChars="200"/>
        <w:jc w:val="both"/>
        <w:outlineLvl w:val="9"/>
        <w:rPr>
          <w:rFonts w:ascii="Times New Roman" w:hAnsi="Times New Roman" w:eastAsia="黑体" w:cs="Times New Roman"/>
          <w:b/>
          <w:bCs/>
          <w:color w:val="000000"/>
          <w:kern w:val="0"/>
          <w:sz w:val="24"/>
          <w:szCs w:val="32"/>
          <w:lang w:val="zh-CN" w:eastAsia="zh-CN" w:bidi="ar-SA"/>
        </w:rPr>
      </w:pPr>
      <w:r>
        <w:rPr>
          <w:rFonts w:ascii="Times New Roman" w:hAnsi="Times New Roman" w:eastAsia="宋体" w:cs="Times New Roman"/>
          <w:b w:val="0"/>
          <w:bCs/>
          <w:kern w:val="28"/>
          <w:sz w:val="24"/>
          <w:szCs w:val="32"/>
          <w:lang w:val="zh-CN" w:eastAsia="zh-CN" w:bidi="ar-SA"/>
        </w:rPr>
        <w:t>检验成果：建筑能耗指标检验报告。</w:t>
      </w:r>
    </w:p>
    <w:p>
      <w:pPr>
        <w:widowControl w:val="0"/>
        <w:numPr>
          <w:ilvl w:val="2"/>
          <w:numId w:val="0"/>
        </w:numPr>
        <w:spacing w:before="0" w:after="0" w:line="360" w:lineRule="auto"/>
        <w:jc w:val="both"/>
        <w:outlineLvl w:val="9"/>
        <w:rPr>
          <w:rFonts w:ascii="Times New Roman" w:hAnsi="Times New Roman" w:eastAsia="宋体" w:cs="Times New Roman"/>
          <w:b/>
          <w:bCs/>
          <w:kern w:val="28"/>
          <w:sz w:val="24"/>
          <w:szCs w:val="28"/>
          <w:lang w:val="zh-CN" w:eastAsia="zh-CN" w:bidi="ar-SA"/>
        </w:rPr>
      </w:pPr>
      <w:r>
        <w:rPr>
          <w:rFonts w:hint="default" w:ascii="Times New Roman" w:hAnsi="Times New Roman" w:eastAsia="宋体" w:cs="Times New Roman"/>
          <w:b/>
          <w:bCs/>
          <w:color w:val="auto"/>
          <w:kern w:val="28"/>
          <w:sz w:val="24"/>
          <w:szCs w:val="24"/>
          <w:lang w:val="zh-CN" w:eastAsia="zh-CN" w:bidi="ar-SA"/>
        </w:rPr>
        <w:t>7.1.18</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可再生能源系统</w:t>
      </w:r>
      <w:r>
        <w:rPr>
          <w:rFonts w:ascii="Times New Roman" w:hAnsi="Times New Roman" w:eastAsia="宋体" w:cs="Times New Roman"/>
          <w:b w:val="0"/>
          <w:bCs/>
          <w:kern w:val="28"/>
          <w:sz w:val="24"/>
          <w:szCs w:val="32"/>
          <w:lang w:val="zh-CN" w:eastAsia="zh" w:bidi="ar-SA"/>
        </w:rPr>
        <w:t>运行效果</w:t>
      </w:r>
      <w:r>
        <w:rPr>
          <w:rFonts w:ascii="Times New Roman" w:hAnsi="Times New Roman" w:eastAsia="宋体" w:cs="Times New Roman"/>
          <w:b w:val="0"/>
          <w:bCs/>
          <w:kern w:val="28"/>
          <w:sz w:val="24"/>
          <w:szCs w:val="32"/>
          <w:lang w:val="zh-CN" w:eastAsia="zh-CN" w:bidi="ar-SA"/>
        </w:rPr>
        <w:t>的检验应符合下列规定：</w:t>
      </w:r>
    </w:p>
    <w:p>
      <w:pPr>
        <w:widowControl/>
        <w:numPr>
          <w:ilvl w:val="0"/>
          <w:numId w:val="122"/>
        </w:numPr>
        <w:spacing w:line="360" w:lineRule="auto"/>
        <w:ind w:left="0" w:firstLine="480" w:firstLineChars="200"/>
        <w:jc w:val="both"/>
        <w:rPr>
          <w:rFonts w:ascii="Times New Roman" w:hAnsi="Times New Roman" w:cs="Times New Roman"/>
          <w:sz w:val="24"/>
          <w:szCs w:val="24"/>
        </w:rPr>
      </w:pPr>
      <w:r>
        <w:rPr>
          <w:rFonts w:ascii="Times New Roman" w:hAnsi="Times New Roman" w:cs="Times New Roman"/>
          <w:sz w:val="24"/>
          <w:szCs w:val="24"/>
        </w:rPr>
        <w:t>检验内容：</w:t>
      </w:r>
      <w:r>
        <w:rPr>
          <w:rFonts w:ascii="Times New Roman" w:hAnsi="Times New Roman" w:cs="Times New Roman"/>
          <w:sz w:val="24"/>
          <w:szCs w:val="24"/>
          <w:lang w:bidi="ar"/>
        </w:rPr>
        <w:t>可再生能源系统运行效果</w:t>
      </w:r>
      <w:r>
        <w:rPr>
          <w:rFonts w:ascii="Times New Roman" w:hAnsi="Times New Roman" w:cs="Times New Roman"/>
          <w:sz w:val="24"/>
          <w:szCs w:val="24"/>
        </w:rPr>
        <w:t>。</w:t>
      </w:r>
    </w:p>
    <w:p>
      <w:pPr>
        <w:widowControl w:val="0"/>
        <w:numPr>
          <w:ilvl w:val="0"/>
          <w:numId w:val="122"/>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val="0"/>
        <w:numPr>
          <w:ilvl w:val="0"/>
          <w:numId w:val="123"/>
        </w:numPr>
        <w:adjustRightInd w:val="0"/>
        <w:spacing w:line="360" w:lineRule="auto"/>
        <w:ind w:left="0" w:firstLine="567"/>
        <w:jc w:val="both"/>
        <w:outlineLvl w:val="9"/>
        <w:rPr>
          <w:rFonts w:ascii="Times New Roman" w:hAnsi="Times New Roman" w:cs="Times New Roman"/>
          <w:sz w:val="24"/>
          <w:szCs w:val="28"/>
          <w:lang w:bidi="ar"/>
        </w:rPr>
      </w:pPr>
      <w:r>
        <w:rPr>
          <w:rFonts w:ascii="Times New Roman" w:hAnsi="Times New Roman" w:cs="Times New Roman"/>
          <w:sz w:val="24"/>
          <w:szCs w:val="28"/>
          <w:lang w:bidi="ar"/>
        </w:rPr>
        <w:t>分为长期测试法和短期测试法；</w:t>
      </w:r>
    </w:p>
    <w:p>
      <w:pPr>
        <w:widowControl w:val="0"/>
        <w:numPr>
          <w:ilvl w:val="0"/>
          <w:numId w:val="123"/>
        </w:numPr>
        <w:adjustRightInd w:val="0"/>
        <w:spacing w:line="360" w:lineRule="auto"/>
        <w:ind w:left="0" w:firstLine="567"/>
        <w:jc w:val="both"/>
        <w:outlineLvl w:val="9"/>
        <w:rPr>
          <w:rFonts w:ascii="Times New Roman" w:hAnsi="Times New Roman" w:cs="Times New Roman"/>
          <w:sz w:val="24"/>
          <w:szCs w:val="28"/>
          <w:lang w:bidi="ar"/>
        </w:rPr>
      </w:pPr>
      <w:r>
        <w:rPr>
          <w:rFonts w:ascii="Times New Roman" w:hAnsi="Times New Roman" w:cs="Times New Roman"/>
          <w:sz w:val="24"/>
          <w:szCs w:val="28"/>
          <w:lang w:bidi="ar"/>
        </w:rPr>
        <w:t>安装了可再生能源监测系统的项目应采用长期测试法，并符合现行国家</w:t>
      </w:r>
    </w:p>
    <w:p>
      <w:pPr>
        <w:widowControl w:val="0"/>
        <w:numPr>
          <w:ilvl w:val="-1"/>
          <w:numId w:val="0"/>
        </w:numPr>
        <w:adjustRightInd w:val="0"/>
        <w:spacing w:line="360" w:lineRule="auto"/>
        <w:ind w:left="567" w:firstLine="240" w:firstLineChars="100"/>
        <w:jc w:val="both"/>
        <w:outlineLvl w:val="9"/>
        <w:rPr>
          <w:rFonts w:ascii="Times New Roman" w:hAnsi="Times New Roman" w:cs="Times New Roman"/>
          <w:sz w:val="24"/>
          <w:szCs w:val="28"/>
          <w:lang w:bidi="ar"/>
        </w:rPr>
      </w:pPr>
      <w:r>
        <w:rPr>
          <w:rFonts w:ascii="Times New Roman" w:hAnsi="Times New Roman" w:cs="Times New Roman"/>
          <w:sz w:val="24"/>
          <w:szCs w:val="28"/>
          <w:lang w:bidi="ar"/>
        </w:rPr>
        <w:t>标准《可再生能源建筑应用工程评价标准》GB/T 50801 的规定</w:t>
      </w:r>
      <w:r>
        <w:rPr>
          <w:rFonts w:ascii="Times New Roman" w:hAnsi="Times New Roman" w:cs="Times New Roman"/>
          <w:sz w:val="24"/>
          <w:szCs w:val="28"/>
          <w:lang w:eastAsia="zh-CN" w:bidi="ar"/>
        </w:rPr>
        <w:t>；</w:t>
      </w:r>
    </w:p>
    <w:p>
      <w:pPr>
        <w:widowControl w:val="0"/>
        <w:numPr>
          <w:ilvl w:val="0"/>
          <w:numId w:val="123"/>
        </w:numPr>
        <w:adjustRightInd w:val="0"/>
        <w:spacing w:line="360" w:lineRule="auto"/>
        <w:ind w:left="0" w:firstLine="567"/>
        <w:jc w:val="both"/>
        <w:outlineLvl w:val="9"/>
        <w:rPr>
          <w:rFonts w:ascii="Times New Roman" w:hAnsi="Times New Roman" w:cs="Times New Roman"/>
          <w:sz w:val="24"/>
          <w:szCs w:val="28"/>
          <w:lang w:bidi="ar"/>
        </w:rPr>
      </w:pPr>
      <w:r>
        <w:rPr>
          <w:rFonts w:ascii="Times New Roman" w:hAnsi="Times New Roman" w:cs="Times New Roman"/>
          <w:sz w:val="24"/>
          <w:szCs w:val="28"/>
          <w:lang w:bidi="ar"/>
        </w:rPr>
        <w:t>没有安装可再生能源监测系统的项目应采用短期测试法，并符合现行国</w:t>
      </w:r>
      <w:r>
        <w:rPr>
          <w:rFonts w:hint="eastAsia" w:cs="Times New Roman"/>
          <w:sz w:val="24"/>
          <w:szCs w:val="28"/>
          <w:lang w:val="en-US" w:eastAsia="zh-CN" w:bidi="ar"/>
        </w:rPr>
        <w:t xml:space="preserve"> </w:t>
      </w:r>
    </w:p>
    <w:p>
      <w:pPr>
        <w:widowControl w:val="0"/>
        <w:numPr>
          <w:ilvl w:val="-1"/>
          <w:numId w:val="0"/>
        </w:numPr>
        <w:adjustRightInd w:val="0"/>
        <w:spacing w:line="360" w:lineRule="auto"/>
        <w:ind w:left="567" w:firstLine="240" w:firstLineChars="100"/>
        <w:jc w:val="both"/>
        <w:outlineLvl w:val="9"/>
        <w:rPr>
          <w:rFonts w:ascii="Times New Roman" w:hAnsi="Times New Roman" w:cs="Times New Roman"/>
          <w:sz w:val="24"/>
          <w:szCs w:val="28"/>
          <w:lang w:bidi="ar"/>
        </w:rPr>
      </w:pPr>
      <w:r>
        <w:rPr>
          <w:rFonts w:ascii="Times New Roman" w:hAnsi="Times New Roman" w:cs="Times New Roman"/>
          <w:sz w:val="24"/>
          <w:szCs w:val="28"/>
          <w:lang w:bidi="ar"/>
        </w:rPr>
        <w:t>家标准《可再生能源建筑应用工程评价标准》GB/T 50801 的规定</w:t>
      </w:r>
      <w:r>
        <w:rPr>
          <w:rFonts w:hint="eastAsia" w:cs="Times New Roman"/>
          <w:sz w:val="24"/>
          <w:szCs w:val="28"/>
          <w:lang w:eastAsia="zh-CN" w:bidi="ar"/>
        </w:rPr>
        <w:t>。</w:t>
      </w:r>
    </w:p>
    <w:p>
      <w:pPr>
        <w:widowControl/>
        <w:numPr>
          <w:ilvl w:val="0"/>
          <w:numId w:val="122"/>
        </w:numPr>
        <w:spacing w:line="360" w:lineRule="auto"/>
        <w:ind w:left="0" w:firstLine="480" w:firstLineChars="200"/>
        <w:jc w:val="both"/>
        <w:rPr>
          <w:rFonts w:ascii="Times New Roman" w:hAnsi="Times New Roman" w:cs="Times New Roman"/>
          <w:kern w:val="0"/>
          <w:sz w:val="24"/>
          <w:szCs w:val="24"/>
        </w:rPr>
      </w:pPr>
      <w:r>
        <w:rPr>
          <w:rFonts w:ascii="Times New Roman" w:hAnsi="Times New Roman" w:cs="Times New Roman"/>
          <w:sz w:val="24"/>
          <w:szCs w:val="24"/>
        </w:rPr>
        <w:t>检验成果：</w:t>
      </w:r>
      <w:r>
        <w:rPr>
          <w:rFonts w:ascii="Times New Roman" w:hAnsi="Times New Roman" w:cs="Times New Roman"/>
          <w:sz w:val="24"/>
          <w:szCs w:val="24"/>
          <w:lang w:bidi="ar"/>
        </w:rPr>
        <w:t>可再生能源系统运行效果检验报告</w:t>
      </w:r>
      <w:r>
        <w:rPr>
          <w:rFonts w:ascii="Times New Roman" w:hAnsi="Times New Roman" w:cs="Times New Roman"/>
          <w:sz w:val="24"/>
          <w:szCs w:val="24"/>
        </w:rPr>
        <w:t>。</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7.1.19</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太阳能热水系统</w:t>
      </w:r>
      <w:r>
        <w:rPr>
          <w:rFonts w:ascii="Times New Roman" w:hAnsi="Times New Roman" w:eastAsia="宋体" w:cs="Times New Roman"/>
          <w:b w:val="0"/>
          <w:bCs/>
          <w:kern w:val="2"/>
          <w:sz w:val="24"/>
          <w:szCs w:val="24"/>
          <w:lang w:val="en-US" w:eastAsia="zh-CN" w:bidi="ar"/>
        </w:rPr>
        <w:t>运行效果</w:t>
      </w:r>
      <w:r>
        <w:rPr>
          <w:rFonts w:ascii="Times New Roman" w:hAnsi="Times New Roman" w:eastAsia="宋体" w:cs="Times New Roman"/>
          <w:b w:val="0"/>
          <w:bCs/>
          <w:kern w:val="28"/>
          <w:sz w:val="24"/>
          <w:szCs w:val="32"/>
          <w:lang w:val="zh-CN" w:eastAsia="zh-CN" w:bidi="ar-SA"/>
        </w:rPr>
        <w:t>的检验应符合下列规定：</w:t>
      </w:r>
    </w:p>
    <w:p>
      <w:pPr>
        <w:widowControl w:val="0"/>
        <w:numPr>
          <w:ilvl w:val="0"/>
          <w:numId w:val="124"/>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检验内容：太阳能集热热量、集热效率、太阳能保证率。</w:t>
      </w:r>
    </w:p>
    <w:p>
      <w:pPr>
        <w:widowControl w:val="0"/>
        <w:numPr>
          <w:ilvl w:val="0"/>
          <w:numId w:val="124"/>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val="0"/>
        <w:numPr>
          <w:ilvl w:val="0"/>
          <w:numId w:val="125"/>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kern w:val="2"/>
          <w:sz w:val="24"/>
          <w:szCs w:val="28"/>
          <w:lang w:val="en-US" w:eastAsia="zh-CN" w:bidi="ar"/>
        </w:rPr>
        <w:t>太阳能热水系统的测试抽样方法、测试条件、设备仪器、集热热量和系</w:t>
      </w:r>
    </w:p>
    <w:p>
      <w:pPr>
        <w:widowControl w:val="0"/>
        <w:numPr>
          <w:ilvl w:val="-1"/>
          <w:numId w:val="0"/>
        </w:numPr>
        <w:adjustRightInd w:val="0"/>
        <w:spacing w:line="360" w:lineRule="auto"/>
        <w:ind w:left="766" w:leftChars="365" w:firstLine="0" w:firstLineChars="0"/>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kern w:val="2"/>
          <w:sz w:val="24"/>
          <w:szCs w:val="28"/>
          <w:lang w:val="en-US" w:eastAsia="zh-CN" w:bidi="ar"/>
        </w:rPr>
        <w:t>统总能耗应符合现行国家标准《可再生能源建筑应用工程评价标准》GB/T 50801 的规定；</w:t>
      </w:r>
    </w:p>
    <w:p>
      <w:pPr>
        <w:widowControl w:val="0"/>
        <w:numPr>
          <w:ilvl w:val="0"/>
          <w:numId w:val="125"/>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SA"/>
        </w:rPr>
      </w:pPr>
      <w:r>
        <w:rPr>
          <w:rFonts w:ascii="Times New Roman" w:hAnsi="Times New Roman" w:eastAsia="宋体" w:cs="Times New Roman"/>
          <w:kern w:val="2"/>
          <w:sz w:val="24"/>
          <w:szCs w:val="28"/>
          <w:lang w:val="en-US" w:eastAsia="zh-CN" w:bidi="ar"/>
        </w:rPr>
        <w:t>当太阳能热水系统为半集中、集中分散和分散式系统时，系统总能</w:t>
      </w:r>
      <w:r>
        <w:rPr>
          <w:rFonts w:ascii="Times New Roman" w:hAnsi="Times New Roman" w:eastAsia="宋体" w:cs="Times New Roman"/>
          <w:kern w:val="2"/>
          <w:sz w:val="24"/>
          <w:szCs w:val="28"/>
          <w:lang w:val="en-US" w:eastAsia="zh-CN" w:bidi="ar-SA"/>
        </w:rPr>
        <w:t>耗应</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kern w:val="2"/>
          <w:sz w:val="24"/>
          <w:szCs w:val="28"/>
          <w:lang w:val="en-US" w:eastAsia="zh-CN" w:bidi="ar-SA"/>
        </w:rPr>
      </w:pPr>
      <w:r>
        <w:rPr>
          <w:rFonts w:ascii="Times New Roman" w:hAnsi="Times New Roman" w:eastAsia="宋体" w:cs="Times New Roman"/>
          <w:kern w:val="2"/>
          <w:sz w:val="24"/>
          <w:szCs w:val="28"/>
          <w:lang w:val="en-US" w:eastAsia="zh-CN" w:bidi="ar-SA"/>
        </w:rPr>
        <w:t>根据系统运行期间的实际用水人数，按下式进行计算：</w:t>
      </w:r>
    </w:p>
    <w:p>
      <w:pPr>
        <w:spacing w:line="360" w:lineRule="auto"/>
        <w:jc w:val="center"/>
        <w:rPr>
          <w:rFonts w:ascii="Times New Roman" w:hAnsi="Times New Roman" w:cs="Times New Roman"/>
          <w:sz w:val="24"/>
          <w:szCs w:val="28"/>
        </w:rPr>
      </w:pPr>
      <w:r>
        <w:rPr>
          <w:rFonts w:ascii="Times New Roman" w:hAnsi="Times New Roman" w:cs="Times New Roman"/>
          <w:sz w:val="24"/>
          <w:szCs w:val="28"/>
        </w:rPr>
        <w:t>Q=mq</w:t>
      </w:r>
      <w:r>
        <w:rPr>
          <w:rFonts w:ascii="Times New Roman" w:hAnsi="Times New Roman" w:cs="Times New Roman"/>
          <w:sz w:val="24"/>
          <w:szCs w:val="28"/>
          <w:vertAlign w:val="subscript"/>
        </w:rPr>
        <w:t>r</w:t>
      </w:r>
      <w:r>
        <w:rPr>
          <w:rFonts w:ascii="Times New Roman" w:hAnsi="Times New Roman" w:cs="Times New Roman"/>
          <w:sz w:val="24"/>
          <w:szCs w:val="28"/>
        </w:rPr>
        <w:sym w:font="Symbol" w:char="F072"/>
      </w:r>
      <w:r>
        <w:rPr>
          <w:rFonts w:ascii="Times New Roman" w:hAnsi="Times New Roman" w:cs="Times New Roman"/>
          <w:sz w:val="24"/>
          <w:szCs w:val="28"/>
        </w:rPr>
        <w:t>C（t</w:t>
      </w:r>
      <w:r>
        <w:rPr>
          <w:rFonts w:ascii="Times New Roman" w:hAnsi="Times New Roman" w:cs="Times New Roman"/>
          <w:sz w:val="24"/>
          <w:szCs w:val="28"/>
          <w:vertAlign w:val="subscript"/>
        </w:rPr>
        <w:t>r</w:t>
      </w:r>
      <w:r>
        <w:rPr>
          <w:rFonts w:ascii="Times New Roman" w:hAnsi="Times New Roman" w:cs="Times New Roman"/>
          <w:sz w:val="24"/>
          <w:szCs w:val="28"/>
        </w:rPr>
        <w:t>-t</w:t>
      </w:r>
      <w:r>
        <w:rPr>
          <w:rFonts w:ascii="Times New Roman" w:hAnsi="Times New Roman" w:cs="Times New Roman"/>
          <w:sz w:val="24"/>
          <w:szCs w:val="28"/>
          <w:vertAlign w:val="subscript"/>
        </w:rPr>
        <w:t>l</w:t>
      </w:r>
      <w:r>
        <w:rPr>
          <w:rFonts w:ascii="Times New Roman" w:hAnsi="Times New Roman" w:cs="Times New Roman"/>
          <w:sz w:val="24"/>
          <w:szCs w:val="28"/>
        </w:rPr>
        <w:t>）</w:t>
      </w:r>
    </w:p>
    <w:p>
      <w:pPr>
        <w:spacing w:line="360" w:lineRule="auto"/>
        <w:jc w:val="left"/>
        <w:rPr>
          <w:rFonts w:ascii="Times New Roman" w:hAnsi="Times New Roman" w:cs="Times New Roman"/>
          <w:sz w:val="24"/>
          <w:szCs w:val="28"/>
        </w:rPr>
      </w:pPr>
      <w:r>
        <w:rPr>
          <w:rFonts w:ascii="Times New Roman" w:hAnsi="Times New Roman" w:cs="Times New Roman"/>
          <w:sz w:val="24"/>
          <w:szCs w:val="28"/>
        </w:rPr>
        <w:t>式中：Q——系统能耗（kJ）；</w:t>
      </w:r>
    </w:p>
    <w:p>
      <w:pPr>
        <w:spacing w:line="360" w:lineRule="auto"/>
        <w:ind w:firstLine="720" w:firstLineChars="300"/>
        <w:jc w:val="left"/>
        <w:rPr>
          <w:rFonts w:ascii="Times New Roman" w:hAnsi="Times New Roman" w:cs="Times New Roman"/>
          <w:sz w:val="24"/>
          <w:szCs w:val="28"/>
        </w:rPr>
      </w:pPr>
      <w:r>
        <w:rPr>
          <w:rFonts w:ascii="Times New Roman" w:hAnsi="Times New Roman" w:cs="Times New Roman"/>
          <w:sz w:val="24"/>
          <w:szCs w:val="28"/>
        </w:rPr>
        <w:t>m——实际用水人数；</w:t>
      </w:r>
    </w:p>
    <w:p>
      <w:pPr>
        <w:spacing w:line="360" w:lineRule="auto"/>
        <w:ind w:firstLine="720" w:firstLineChars="300"/>
        <w:jc w:val="left"/>
        <w:rPr>
          <w:rFonts w:ascii="Times New Roman" w:hAnsi="Times New Roman" w:cs="Times New Roman"/>
          <w:sz w:val="24"/>
          <w:szCs w:val="28"/>
        </w:rPr>
      </w:pPr>
      <w:r>
        <w:rPr>
          <w:rFonts w:ascii="Times New Roman" w:hAnsi="Times New Roman" w:cs="Times New Roman"/>
          <w:sz w:val="24"/>
          <w:szCs w:val="28"/>
        </w:rPr>
        <w:t>q</w:t>
      </w:r>
      <w:r>
        <w:rPr>
          <w:rFonts w:ascii="Times New Roman" w:hAnsi="Times New Roman" w:cs="Times New Roman"/>
          <w:sz w:val="24"/>
          <w:szCs w:val="28"/>
          <w:vertAlign w:val="subscript"/>
        </w:rPr>
        <w:t>r</w:t>
      </w:r>
      <w:r>
        <w:rPr>
          <w:rFonts w:ascii="Times New Roman" w:hAnsi="Times New Roman" w:cs="Times New Roman"/>
          <w:sz w:val="24"/>
          <w:szCs w:val="28"/>
        </w:rPr>
        <w:t>——热水用水定额（L/人·d），按设计取值；</w:t>
      </w:r>
    </w:p>
    <w:p>
      <w:pPr>
        <w:spacing w:line="360" w:lineRule="auto"/>
        <w:ind w:firstLine="720" w:firstLineChars="300"/>
        <w:jc w:val="left"/>
        <w:rPr>
          <w:rFonts w:ascii="Times New Roman" w:hAnsi="Times New Roman" w:cs="Times New Roman"/>
          <w:sz w:val="24"/>
          <w:szCs w:val="28"/>
        </w:rPr>
      </w:pPr>
      <w:r>
        <w:rPr>
          <w:rFonts w:ascii="Times New Roman" w:hAnsi="Times New Roman" w:cs="Times New Roman"/>
          <w:sz w:val="24"/>
          <w:szCs w:val="28"/>
        </w:rPr>
        <w:t>C——水的比热，C=4.187[kJ/（kg·℃）]；</w:t>
      </w:r>
    </w:p>
    <w:p>
      <w:pPr>
        <w:spacing w:line="360" w:lineRule="auto"/>
        <w:ind w:firstLine="720" w:firstLineChars="300"/>
        <w:jc w:val="left"/>
        <w:rPr>
          <w:rFonts w:ascii="Times New Roman" w:hAnsi="Times New Roman" w:cs="Times New Roman"/>
          <w:sz w:val="24"/>
          <w:szCs w:val="28"/>
        </w:rPr>
      </w:pPr>
      <w:r>
        <w:rPr>
          <w:rFonts w:ascii="Times New Roman" w:hAnsi="Times New Roman" w:cs="Times New Roman"/>
          <w:sz w:val="24"/>
          <w:szCs w:val="28"/>
        </w:rPr>
        <w:t>t</w:t>
      </w:r>
      <w:r>
        <w:rPr>
          <w:rFonts w:ascii="Times New Roman" w:hAnsi="Times New Roman" w:cs="Times New Roman"/>
          <w:sz w:val="24"/>
          <w:szCs w:val="28"/>
          <w:vertAlign w:val="subscript"/>
        </w:rPr>
        <w:t>r</w:t>
      </w:r>
      <w:r>
        <w:rPr>
          <w:rFonts w:ascii="Times New Roman" w:hAnsi="Times New Roman" w:cs="Times New Roman"/>
          <w:sz w:val="24"/>
          <w:szCs w:val="28"/>
        </w:rPr>
        <w:t>——热水温度，按设计取值；</w:t>
      </w:r>
    </w:p>
    <w:p>
      <w:pPr>
        <w:spacing w:line="360" w:lineRule="auto"/>
        <w:ind w:firstLine="720" w:firstLineChars="300"/>
        <w:jc w:val="left"/>
        <w:rPr>
          <w:rFonts w:ascii="Times New Roman" w:hAnsi="Times New Roman" w:cs="Times New Roman"/>
          <w:sz w:val="24"/>
          <w:szCs w:val="28"/>
        </w:rPr>
      </w:pPr>
      <w:r>
        <w:rPr>
          <w:rFonts w:ascii="Times New Roman" w:hAnsi="Times New Roman" w:cs="Times New Roman"/>
          <w:sz w:val="24"/>
          <w:szCs w:val="28"/>
        </w:rPr>
        <w:t>t</w:t>
      </w:r>
      <w:r>
        <w:rPr>
          <w:rFonts w:ascii="Times New Roman" w:hAnsi="Times New Roman" w:cs="Times New Roman"/>
          <w:sz w:val="24"/>
          <w:szCs w:val="28"/>
          <w:vertAlign w:val="subscript"/>
        </w:rPr>
        <w:t>l</w:t>
      </w:r>
      <w:r>
        <w:rPr>
          <w:rFonts w:ascii="Times New Roman" w:hAnsi="Times New Roman" w:cs="Times New Roman"/>
          <w:sz w:val="24"/>
          <w:szCs w:val="28"/>
        </w:rPr>
        <w:t>——冷水温度，按平均 15℃取值；</w:t>
      </w:r>
    </w:p>
    <w:p>
      <w:pPr>
        <w:spacing w:line="360" w:lineRule="auto"/>
        <w:ind w:firstLine="720" w:firstLineChars="300"/>
        <w:jc w:val="left"/>
        <w:rPr>
          <w:rFonts w:ascii="Times New Roman" w:hAnsi="Times New Roman" w:cs="Times New Roman"/>
          <w:sz w:val="24"/>
          <w:szCs w:val="28"/>
        </w:rPr>
      </w:pPr>
      <w:r>
        <w:rPr>
          <w:rFonts w:ascii="Times New Roman" w:hAnsi="Times New Roman" w:cs="Times New Roman"/>
          <w:sz w:val="24"/>
          <w:szCs w:val="28"/>
        </w:rPr>
        <w:t>ρ——热水密度（kg/L）。</w:t>
      </w:r>
    </w:p>
    <w:p>
      <w:pPr>
        <w:pStyle w:val="6"/>
        <w:widowControl w:val="0"/>
        <w:ind w:left="0" w:firstLine="481" w:firstLineChars="200"/>
        <w:jc w:val="both"/>
        <w:outlineLvl w:val="9"/>
        <w:rPr>
          <w:lang w:val="en-US" w:eastAsia="zh-CN"/>
        </w:rPr>
      </w:pPr>
      <w:r>
        <w:rPr>
          <w:rFonts w:hint="default" w:cs="Times New Roman"/>
          <w:b/>
          <w:bCs w:val="0"/>
          <w:kern w:val="28"/>
          <w:sz w:val="24"/>
          <w:szCs w:val="32"/>
          <w:lang w:val="zh-CN" w:eastAsia="zh-CN"/>
        </w:rPr>
        <w:t>3</w:t>
      </w:r>
      <w:r>
        <w:rPr>
          <w:rFonts w:hint="default" w:cs="Times New Roman"/>
          <w:b w:val="0"/>
          <w:bCs/>
          <w:kern w:val="28"/>
          <w:sz w:val="24"/>
          <w:szCs w:val="32"/>
          <w:lang w:val="zh-CN" w:eastAsia="zh-CN"/>
        </w:rPr>
        <w:t xml:space="preserve"> </w:t>
      </w:r>
      <w:r>
        <w:rPr>
          <w:rFonts w:hint="eastAsia" w:cs="Times New Roman"/>
          <w:b w:val="0"/>
          <w:bCs/>
          <w:kern w:val="28"/>
          <w:sz w:val="24"/>
          <w:szCs w:val="32"/>
          <w:lang w:val="en-US" w:eastAsia="zh-CN"/>
        </w:rPr>
        <w:t xml:space="preserve"> </w:t>
      </w:r>
      <w:r>
        <w:rPr>
          <w:rFonts w:cs="Times New Roman"/>
          <w:b w:val="0"/>
          <w:bCs/>
          <w:kern w:val="28"/>
          <w:sz w:val="24"/>
          <w:szCs w:val="32"/>
          <w:lang w:val="zh-CN" w:eastAsia="zh-CN"/>
        </w:rPr>
        <w:t>检验成果</w:t>
      </w:r>
      <w:r>
        <w:rPr>
          <w:rFonts w:cs="Times New Roman"/>
          <w:b w:val="0"/>
          <w:kern w:val="2"/>
          <w:sz w:val="24"/>
          <w:szCs w:val="28"/>
          <w:lang w:val="zh-CN" w:eastAsia="zh-CN" w:bidi="ar"/>
        </w:rPr>
        <w:t>：</w:t>
      </w:r>
      <w:r>
        <w:rPr>
          <w:rFonts w:cs="Times New Roman"/>
          <w:b w:val="0"/>
          <w:sz w:val="24"/>
          <w:szCs w:val="28"/>
          <w:lang w:val="en-US" w:eastAsia="zh-CN" w:bidi="ar"/>
        </w:rPr>
        <w:t>太阳能热水系统运行效果检验报告。</w:t>
      </w:r>
    </w:p>
    <w:p>
      <w:pPr>
        <w:widowControl w:val="0"/>
        <w:numPr>
          <w:ilvl w:val="2"/>
          <w:numId w:val="0"/>
        </w:numPr>
        <w:spacing w:before="0" w:after="0" w:line="360" w:lineRule="auto"/>
        <w:jc w:val="both"/>
        <w:outlineLvl w:val="9"/>
        <w:rPr>
          <w:rFonts w:ascii="Times New Roman" w:hAnsi="Times New Roman" w:eastAsia="黑体" w:cs="Times New Roman"/>
          <w:b/>
          <w:bCs/>
          <w:kern w:val="28"/>
          <w:sz w:val="24"/>
          <w:szCs w:val="28"/>
          <w:lang w:val="zh-CN" w:eastAsia="zh-CN" w:bidi="ar-SA"/>
        </w:rPr>
      </w:pPr>
      <w:r>
        <w:rPr>
          <w:rFonts w:hint="default" w:ascii="Times New Roman" w:hAnsi="Times New Roman" w:eastAsia="黑体" w:cs="Times New Roman"/>
          <w:b/>
          <w:bCs/>
          <w:color w:val="auto"/>
          <w:kern w:val="28"/>
          <w:sz w:val="24"/>
          <w:szCs w:val="24"/>
          <w:lang w:val="zh-CN" w:eastAsia="zh-CN" w:bidi="ar-SA"/>
        </w:rPr>
        <w:t>7.1.20</w:t>
      </w:r>
      <w:r>
        <w:rPr>
          <w:rFonts w:hint="eastAsia" w:eastAsia="黑体"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太阳能光伏系统</w:t>
      </w:r>
      <w:r>
        <w:rPr>
          <w:rFonts w:ascii="Times New Roman" w:hAnsi="Times New Roman" w:eastAsia="宋体" w:cs="Times New Roman"/>
          <w:b w:val="0"/>
          <w:bCs/>
          <w:kern w:val="2"/>
          <w:sz w:val="24"/>
          <w:szCs w:val="24"/>
          <w:lang w:val="en-US" w:eastAsia="zh-CN" w:bidi="ar"/>
        </w:rPr>
        <w:t>运行效果</w:t>
      </w:r>
      <w:r>
        <w:rPr>
          <w:rFonts w:ascii="Times New Roman" w:hAnsi="Times New Roman" w:eastAsia="宋体" w:cs="Times New Roman"/>
          <w:b w:val="0"/>
          <w:bCs/>
          <w:kern w:val="28"/>
          <w:sz w:val="24"/>
          <w:szCs w:val="32"/>
          <w:lang w:val="zh-CN" w:eastAsia="zh-CN" w:bidi="ar-SA"/>
        </w:rPr>
        <w:t>的检验应符合下列规定：</w:t>
      </w:r>
    </w:p>
    <w:p>
      <w:pPr>
        <w:widowControl w:val="0"/>
        <w:numPr>
          <w:ilvl w:val="0"/>
          <w:numId w:val="126"/>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检验内容：年发电量、组件背板。</w:t>
      </w:r>
    </w:p>
    <w:p>
      <w:pPr>
        <w:widowControl w:val="0"/>
        <w:numPr>
          <w:ilvl w:val="0"/>
          <w:numId w:val="126"/>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检验方法：太阳能光伏系统的测试抽样方法、测试条件、设备仪器和全年发电量应符合现行国家标准《可再生能源建筑应用工程评价标准》GB/T 50801的规定。</w:t>
      </w:r>
    </w:p>
    <w:p>
      <w:pPr>
        <w:numPr>
          <w:ilvl w:val="0"/>
          <w:numId w:val="126"/>
        </w:numPr>
        <w:spacing w:line="240" w:lineRule="auto"/>
        <w:ind w:left="900" w:hanging="420"/>
        <w:jc w:val="left"/>
        <w:rPr>
          <w:rFonts w:ascii="Times New Roman" w:hAnsi="Times New Roman" w:cs="Times New Roman"/>
          <w:sz w:val="24"/>
          <w:szCs w:val="28"/>
        </w:rPr>
      </w:pPr>
      <w:r>
        <w:rPr>
          <w:rFonts w:ascii="Times New Roman" w:hAnsi="Times New Roman" w:cs="Times New Roman"/>
          <w:sz w:val="24"/>
          <w:szCs w:val="28"/>
        </w:rPr>
        <w:t>检验成果：太阳能光伏系统</w:t>
      </w:r>
      <w:r>
        <w:rPr>
          <w:rFonts w:ascii="Times New Roman" w:hAnsi="Times New Roman" w:cs="Times New Roman"/>
          <w:sz w:val="24"/>
          <w:szCs w:val="24"/>
          <w:lang w:bidi="ar"/>
        </w:rPr>
        <w:t>运行效果</w:t>
      </w:r>
      <w:r>
        <w:rPr>
          <w:rFonts w:ascii="Times New Roman" w:hAnsi="Times New Roman" w:cs="Times New Roman"/>
          <w:sz w:val="24"/>
          <w:szCs w:val="28"/>
        </w:rPr>
        <w:t>检验报告。</w:t>
      </w:r>
    </w:p>
    <w:p>
      <w:pPr>
        <w:widowControl w:val="0"/>
        <w:numPr>
          <w:ilvl w:val="2"/>
          <w:numId w:val="0"/>
        </w:numPr>
        <w:spacing w:before="0" w:after="0" w:line="360" w:lineRule="auto"/>
        <w:jc w:val="both"/>
        <w:outlineLvl w:val="9"/>
        <w:rPr>
          <w:rFonts w:ascii="Times New Roman" w:hAnsi="Times New Roman" w:eastAsia="黑体" w:cs="Times New Roman"/>
          <w:b/>
          <w:bCs/>
          <w:kern w:val="28"/>
          <w:sz w:val="24"/>
          <w:szCs w:val="28"/>
          <w:lang w:val="zh-CN" w:eastAsia="zh-CN" w:bidi="ar-SA"/>
        </w:rPr>
      </w:pPr>
      <w:r>
        <w:rPr>
          <w:rFonts w:hint="default" w:ascii="Times New Roman" w:hAnsi="Times New Roman" w:eastAsia="黑体" w:cs="Times New Roman"/>
          <w:b/>
          <w:bCs/>
          <w:color w:val="auto"/>
          <w:kern w:val="28"/>
          <w:sz w:val="24"/>
          <w:szCs w:val="24"/>
          <w:lang w:val="zh-CN" w:eastAsia="zh-CN" w:bidi="ar-SA"/>
        </w:rPr>
        <w:t>7.1.21</w:t>
      </w:r>
      <w:r>
        <w:rPr>
          <w:rFonts w:hint="eastAsia" w:eastAsia="黑体"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太阳能空调系统制冷量</w:t>
      </w:r>
      <w:r>
        <w:rPr>
          <w:rFonts w:ascii="Times New Roman" w:hAnsi="Times New Roman" w:eastAsia="宋体" w:cs="Times New Roman"/>
          <w:b w:val="0"/>
          <w:bCs/>
          <w:kern w:val="2"/>
          <w:sz w:val="24"/>
          <w:szCs w:val="24"/>
          <w:lang w:val="en-US" w:eastAsia="zh-CN" w:bidi="ar"/>
        </w:rPr>
        <w:t>运行效果</w:t>
      </w:r>
      <w:r>
        <w:rPr>
          <w:rFonts w:ascii="Times New Roman" w:hAnsi="Times New Roman" w:eastAsia="宋体" w:cs="Times New Roman"/>
          <w:b w:val="0"/>
          <w:bCs/>
          <w:kern w:val="28"/>
          <w:sz w:val="24"/>
          <w:szCs w:val="32"/>
          <w:lang w:val="zh-CN" w:eastAsia="zh-CN" w:bidi="ar-SA"/>
        </w:rPr>
        <w:t>的检验应符合下列规定：</w:t>
      </w:r>
    </w:p>
    <w:p>
      <w:pPr>
        <w:widowControl w:val="0"/>
        <w:numPr>
          <w:ilvl w:val="0"/>
          <w:numId w:val="127"/>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检验内容：太阳能空调系统的制冷量。</w:t>
      </w:r>
    </w:p>
    <w:p>
      <w:pPr>
        <w:widowControl w:val="0"/>
        <w:numPr>
          <w:ilvl w:val="0"/>
          <w:numId w:val="127"/>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val="0"/>
        <w:numPr>
          <w:ilvl w:val="0"/>
          <w:numId w:val="128"/>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kern w:val="2"/>
          <w:sz w:val="24"/>
          <w:szCs w:val="28"/>
          <w:lang w:val="en-US" w:eastAsia="zh-CN" w:bidi="ar"/>
        </w:rPr>
        <w:t>太阳能空调系统制冷量的检测应符合现行国家标准《可再生能源建筑应</w:t>
      </w:r>
    </w:p>
    <w:p>
      <w:pPr>
        <w:widowControl w:val="0"/>
        <w:numPr>
          <w:ilvl w:val="-1"/>
          <w:numId w:val="0"/>
        </w:numPr>
        <w:adjustRightInd w:val="0"/>
        <w:spacing w:line="360" w:lineRule="auto"/>
        <w:ind w:left="766" w:leftChars="365" w:firstLine="0" w:firstLineChars="0"/>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kern w:val="2"/>
          <w:sz w:val="24"/>
          <w:szCs w:val="28"/>
          <w:lang w:val="en-US" w:eastAsia="zh-CN" w:bidi="ar"/>
        </w:rPr>
        <w:t>用工程评价标准》GB/T 50801 和现行行业标准《公共建筑节能检测标准》JGJ/T177 的规定；</w:t>
      </w:r>
    </w:p>
    <w:p>
      <w:pPr>
        <w:widowControl w:val="0"/>
        <w:numPr>
          <w:ilvl w:val="0"/>
          <w:numId w:val="128"/>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kern w:val="2"/>
          <w:sz w:val="24"/>
          <w:szCs w:val="28"/>
          <w:lang w:val="en-US" w:eastAsia="zh-CN" w:bidi="ar"/>
        </w:rPr>
        <w:t>测试宜在系统负荷率达到 60%以上，太阳能空调机组的负荷达到机组额</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kern w:val="2"/>
          <w:sz w:val="24"/>
          <w:szCs w:val="28"/>
          <w:lang w:val="en-US" w:eastAsia="zh-CN" w:bidi="ar"/>
        </w:rPr>
        <w:t>定值的 80%以上进行；</w:t>
      </w:r>
    </w:p>
    <w:p>
      <w:pPr>
        <w:widowControl w:val="0"/>
        <w:numPr>
          <w:ilvl w:val="0"/>
          <w:numId w:val="128"/>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kern w:val="2"/>
          <w:sz w:val="24"/>
          <w:szCs w:val="28"/>
          <w:lang w:val="en-US" w:eastAsia="zh-CN" w:bidi="ar"/>
        </w:rPr>
        <w:t>测试时间应选择系统典型运行工况进行连续测试，不应少于4天。</w:t>
      </w:r>
    </w:p>
    <w:p>
      <w:pPr>
        <w:widowControl w:val="0"/>
        <w:numPr>
          <w:ilvl w:val="0"/>
          <w:numId w:val="127"/>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检验成果：太阳能空调系统制冷量</w:t>
      </w:r>
      <w:r>
        <w:rPr>
          <w:rFonts w:ascii="Times New Roman" w:hAnsi="Times New Roman" w:eastAsia="宋体" w:cs="Times New Roman"/>
          <w:b w:val="0"/>
          <w:bCs/>
          <w:kern w:val="2"/>
          <w:sz w:val="24"/>
          <w:szCs w:val="24"/>
          <w:lang w:val="en-US" w:eastAsia="zh-CN" w:bidi="ar"/>
        </w:rPr>
        <w:t>运行效果</w:t>
      </w:r>
      <w:r>
        <w:rPr>
          <w:rFonts w:ascii="Times New Roman" w:hAnsi="Times New Roman" w:eastAsia="宋体" w:cs="Times New Roman"/>
          <w:b w:val="0"/>
          <w:bCs/>
          <w:kern w:val="28"/>
          <w:sz w:val="24"/>
          <w:szCs w:val="32"/>
          <w:lang w:val="zh-CN" w:eastAsia="zh-CN" w:bidi="ar-SA"/>
        </w:rPr>
        <w:t>检验报告。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7.1.22</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地源热泵系统</w:t>
      </w:r>
      <w:r>
        <w:rPr>
          <w:rFonts w:ascii="Times New Roman" w:hAnsi="Times New Roman" w:eastAsia="宋体" w:cs="Times New Roman"/>
          <w:b w:val="0"/>
          <w:bCs/>
          <w:kern w:val="2"/>
          <w:sz w:val="24"/>
          <w:szCs w:val="24"/>
          <w:lang w:val="en-US" w:eastAsia="zh-CN" w:bidi="ar"/>
        </w:rPr>
        <w:t>运行效果</w:t>
      </w:r>
      <w:r>
        <w:rPr>
          <w:rFonts w:ascii="Times New Roman" w:hAnsi="Times New Roman" w:eastAsia="宋体" w:cs="Times New Roman"/>
          <w:b w:val="0"/>
          <w:bCs/>
          <w:kern w:val="28"/>
          <w:sz w:val="24"/>
          <w:szCs w:val="32"/>
          <w:lang w:val="zh-CN" w:eastAsia="zh-CN" w:bidi="ar-SA"/>
        </w:rPr>
        <w:t>的检验应符合下列规定：</w:t>
      </w:r>
    </w:p>
    <w:p>
      <w:pPr>
        <w:widowControl w:val="0"/>
        <w:numPr>
          <w:ilvl w:val="0"/>
          <w:numId w:val="129"/>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检验内容：制冷量和制热量。</w:t>
      </w:r>
    </w:p>
    <w:p>
      <w:pPr>
        <w:widowControl w:val="0"/>
        <w:numPr>
          <w:ilvl w:val="0"/>
          <w:numId w:val="129"/>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val="0"/>
        <w:numPr>
          <w:ilvl w:val="0"/>
          <w:numId w:val="130"/>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kern w:val="2"/>
          <w:sz w:val="24"/>
          <w:szCs w:val="28"/>
          <w:lang w:val="en-US" w:eastAsia="zh-CN" w:bidi="ar"/>
        </w:rPr>
        <w:t>地源热泵系统制冷量和制热量的检测应符合现行国家标准《可再生能源</w:t>
      </w:r>
    </w:p>
    <w:p>
      <w:pPr>
        <w:widowControl w:val="0"/>
        <w:numPr>
          <w:ilvl w:val="-1"/>
          <w:numId w:val="0"/>
        </w:numPr>
        <w:adjustRightInd w:val="0"/>
        <w:spacing w:line="360" w:lineRule="auto"/>
        <w:ind w:left="766" w:leftChars="365" w:firstLine="0" w:firstLineChars="0"/>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kern w:val="2"/>
          <w:sz w:val="24"/>
          <w:szCs w:val="28"/>
          <w:lang w:val="en-US" w:eastAsia="zh-CN" w:bidi="ar"/>
        </w:rPr>
        <w:t>建筑应用工程评价标准》GB/T 50801 和现行行业标准《公共建筑节能检测标准》JGJ/T 177 的规定；</w:t>
      </w:r>
    </w:p>
    <w:p>
      <w:pPr>
        <w:widowControl w:val="0"/>
        <w:numPr>
          <w:ilvl w:val="0"/>
          <w:numId w:val="130"/>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kern w:val="2"/>
          <w:sz w:val="24"/>
          <w:szCs w:val="28"/>
          <w:lang w:val="en-US" w:eastAsia="zh-CN" w:bidi="ar"/>
        </w:rPr>
        <w:t>测试宜在系统负荷率达到 60%以上，地源热泵机组的负荷达到机组额定</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kern w:val="2"/>
          <w:sz w:val="24"/>
          <w:szCs w:val="28"/>
          <w:lang w:val="en-US" w:eastAsia="zh-CN" w:bidi="ar"/>
        </w:rPr>
        <w:t>值的 80%以上进行；</w:t>
      </w:r>
    </w:p>
    <w:p>
      <w:pPr>
        <w:widowControl w:val="0"/>
        <w:numPr>
          <w:ilvl w:val="0"/>
          <w:numId w:val="130"/>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kern w:val="2"/>
          <w:sz w:val="24"/>
          <w:szCs w:val="28"/>
          <w:lang w:val="en-US" w:eastAsia="zh-CN" w:bidi="ar"/>
        </w:rPr>
        <w:t>测试时间应选择系统典型运行工况进行连续测试，不应少于4天。</w:t>
      </w:r>
    </w:p>
    <w:p>
      <w:pPr>
        <w:widowControl w:val="0"/>
        <w:numPr>
          <w:ilvl w:val="0"/>
          <w:numId w:val="129"/>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检验成果：地源热泵系统</w:t>
      </w:r>
      <w:r>
        <w:rPr>
          <w:rFonts w:ascii="Times New Roman" w:hAnsi="Times New Roman" w:eastAsia="宋体" w:cs="Times New Roman"/>
          <w:b w:val="0"/>
          <w:bCs/>
          <w:kern w:val="2"/>
          <w:sz w:val="24"/>
          <w:szCs w:val="24"/>
          <w:lang w:val="en-US" w:eastAsia="zh-CN" w:bidi="ar"/>
        </w:rPr>
        <w:t>运行效果</w:t>
      </w:r>
      <w:r>
        <w:rPr>
          <w:rFonts w:ascii="Times New Roman" w:hAnsi="Times New Roman" w:eastAsia="宋体" w:cs="Times New Roman"/>
          <w:b w:val="0"/>
          <w:bCs/>
          <w:kern w:val="28"/>
          <w:sz w:val="24"/>
          <w:szCs w:val="32"/>
          <w:lang w:val="zh-CN" w:eastAsia="zh-CN" w:bidi="ar-SA"/>
        </w:rPr>
        <w:t>检验报告。</w:t>
      </w:r>
    </w:p>
    <w:p>
      <w:pPr>
        <w:widowControl w:val="0"/>
        <w:numPr>
          <w:ilvl w:val="1"/>
          <w:numId w:val="0"/>
        </w:numPr>
        <w:spacing w:before="312" w:beforeLines="100" w:after="0" w:line="360" w:lineRule="auto"/>
        <w:ind w:left="567" w:leftChars="0" w:hanging="567" w:firstLineChars="0"/>
        <w:jc w:val="center"/>
        <w:outlineLvl w:val="1"/>
        <w:rPr>
          <w:rFonts w:ascii="Times New Roman" w:hAnsi="Times New Roman" w:eastAsia="黑体" w:cs="Times New Roman"/>
          <w:b/>
          <w:bCs/>
          <w:kern w:val="28"/>
          <w:sz w:val="24"/>
          <w:szCs w:val="32"/>
          <w:lang w:val="zh-CN" w:eastAsia="zh-CN" w:bidi="ar-SA"/>
        </w:rPr>
      </w:pPr>
      <w:bookmarkStart w:id="60" w:name="_Toc204157430"/>
      <w:r>
        <w:rPr>
          <w:rFonts w:hint="default" w:ascii="Times New Roman" w:hAnsi="Times New Roman" w:eastAsia="黑体" w:cs="Times New Roman"/>
          <w:b/>
          <w:bCs/>
          <w:kern w:val="28"/>
          <w:sz w:val="24"/>
          <w:szCs w:val="32"/>
          <w:lang w:val="zh-CN" w:eastAsia="zh-CN" w:bidi="ar-SA"/>
        </w:rPr>
        <w:t>7.2</w:t>
      </w:r>
      <w:r>
        <w:rPr>
          <w:rFonts w:ascii="Times New Roman" w:hAnsi="Times New Roman" w:eastAsia="黑体" w:cs="Times New Roman"/>
          <w:b/>
          <w:bCs/>
          <w:kern w:val="28"/>
          <w:sz w:val="24"/>
          <w:szCs w:val="32"/>
          <w:lang w:val="zh-CN" w:eastAsia="zh-CN" w:bidi="ar-SA"/>
        </w:rPr>
        <w:t>节水与水资源利用</w:t>
      </w:r>
      <w:bookmarkEnd w:id="60"/>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7.2.1</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入户管供水压力的检验应符合下列规定：</w:t>
      </w:r>
    </w:p>
    <w:p>
      <w:pPr>
        <w:widowControl w:val="0"/>
        <w:numPr>
          <w:ilvl w:val="0"/>
          <w:numId w:val="131"/>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检验内容：入户管供水压力。</w:t>
      </w:r>
    </w:p>
    <w:p>
      <w:pPr>
        <w:widowControl w:val="0"/>
        <w:numPr>
          <w:ilvl w:val="0"/>
          <w:numId w:val="131"/>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val="0"/>
        <w:numPr>
          <w:ilvl w:val="0"/>
          <w:numId w:val="132"/>
        </w:numPr>
        <w:adjustRightInd w:val="0"/>
        <w:spacing w:line="360" w:lineRule="auto"/>
        <w:ind w:left="0" w:firstLine="567"/>
        <w:jc w:val="both"/>
        <w:outlineLvl w:val="9"/>
        <w:rPr>
          <w:rFonts w:ascii="Times New Roman" w:hAnsi="Times New Roman" w:cs="Times New Roman"/>
          <w:sz w:val="24"/>
          <w:szCs w:val="28"/>
          <w:lang w:bidi="ar"/>
        </w:rPr>
      </w:pPr>
      <w:r>
        <w:rPr>
          <w:rFonts w:ascii="Times New Roman" w:hAnsi="Times New Roman" w:cs="Times New Roman"/>
          <w:sz w:val="24"/>
          <w:szCs w:val="28"/>
          <w:lang w:bidi="ar"/>
        </w:rPr>
        <w:t>现场用经检验合格的压力表或采用多个压力表交叉验证的方法，核查入</w:t>
      </w:r>
    </w:p>
    <w:p>
      <w:pPr>
        <w:widowControl w:val="0"/>
        <w:numPr>
          <w:ilvl w:val="-1"/>
          <w:numId w:val="0"/>
        </w:numPr>
        <w:adjustRightInd w:val="0"/>
        <w:spacing w:line="360" w:lineRule="auto"/>
        <w:ind w:left="567" w:firstLine="240" w:firstLineChars="100"/>
        <w:jc w:val="both"/>
        <w:outlineLvl w:val="9"/>
        <w:rPr>
          <w:rFonts w:ascii="Times New Roman" w:hAnsi="Times New Roman" w:cs="Times New Roman"/>
          <w:sz w:val="24"/>
          <w:szCs w:val="28"/>
          <w:lang w:bidi="ar"/>
        </w:rPr>
      </w:pPr>
      <w:r>
        <w:rPr>
          <w:rFonts w:ascii="Times New Roman" w:hAnsi="Times New Roman" w:cs="Times New Roman"/>
          <w:sz w:val="24"/>
          <w:szCs w:val="28"/>
          <w:lang w:bidi="ar"/>
        </w:rPr>
        <w:t>户管供水压力表数据；</w:t>
      </w:r>
    </w:p>
    <w:p>
      <w:pPr>
        <w:widowControl w:val="0"/>
        <w:numPr>
          <w:ilvl w:val="0"/>
          <w:numId w:val="132"/>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kern w:val="2"/>
          <w:sz w:val="24"/>
          <w:szCs w:val="28"/>
          <w:lang w:val="en-US" w:eastAsia="zh-CN" w:bidi="ar"/>
        </w:rPr>
        <w:t>结果应符合设计要求和现行国家标准《绿色建筑评价标准》GB/T 50378</w:t>
      </w:r>
    </w:p>
    <w:p>
      <w:pPr>
        <w:widowControl w:val="0"/>
        <w:numPr>
          <w:ilvl w:val="-1"/>
          <w:numId w:val="0"/>
        </w:numPr>
        <w:adjustRightInd w:val="0"/>
        <w:spacing w:line="360" w:lineRule="auto"/>
        <w:ind w:left="567" w:firstLine="240" w:firstLineChars="100"/>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kern w:val="2"/>
          <w:sz w:val="24"/>
          <w:szCs w:val="28"/>
          <w:lang w:val="en-US" w:eastAsia="zh-CN" w:bidi="ar"/>
        </w:rPr>
        <w:t>的规定。</w:t>
      </w:r>
    </w:p>
    <w:p>
      <w:pPr>
        <w:widowControl w:val="0"/>
        <w:numPr>
          <w:ilvl w:val="0"/>
          <w:numId w:val="131"/>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检验成果：入户管供水压力检验报告。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7.2.2</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卫生器具用水效率的检验应符合下列规定：</w:t>
      </w:r>
    </w:p>
    <w:p>
      <w:pPr>
        <w:widowControl w:val="0"/>
        <w:numPr>
          <w:ilvl w:val="0"/>
          <w:numId w:val="133"/>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检验内容：卫生器具用水效率。</w:t>
      </w:r>
    </w:p>
    <w:p>
      <w:pPr>
        <w:widowControl w:val="0"/>
        <w:numPr>
          <w:ilvl w:val="0"/>
          <w:numId w:val="133"/>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val="0"/>
        <w:numPr>
          <w:ilvl w:val="0"/>
          <w:numId w:val="134"/>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kern w:val="2"/>
          <w:sz w:val="24"/>
          <w:szCs w:val="28"/>
          <w:lang w:val="en-US" w:eastAsia="zh-CN" w:bidi="ar"/>
        </w:rPr>
        <w:t>核查卫生器具是否具有国家认可的用水效率检测或认证报告；</w:t>
      </w:r>
    </w:p>
    <w:p>
      <w:pPr>
        <w:widowControl w:val="0"/>
        <w:numPr>
          <w:ilvl w:val="0"/>
          <w:numId w:val="134"/>
        </w:numPr>
        <w:adjustRightInd w:val="0"/>
        <w:spacing w:line="360" w:lineRule="auto"/>
        <w:ind w:left="0" w:firstLine="567"/>
        <w:jc w:val="both"/>
        <w:outlineLvl w:val="9"/>
        <w:rPr>
          <w:rFonts w:ascii="Times New Roman" w:hAnsi="Times New Roman" w:cs="Times New Roman"/>
          <w:sz w:val="24"/>
          <w:szCs w:val="28"/>
          <w:lang w:bidi="ar"/>
        </w:rPr>
      </w:pPr>
      <w:r>
        <w:rPr>
          <w:rFonts w:ascii="Times New Roman" w:hAnsi="Times New Roman" w:cs="Times New Roman"/>
          <w:sz w:val="24"/>
          <w:szCs w:val="28"/>
          <w:lang w:bidi="ar"/>
        </w:rPr>
        <w:t>现场核查卫生器具单位时间用水量，节水性能应符合现行国家标准《水</w:t>
      </w:r>
    </w:p>
    <w:p>
      <w:pPr>
        <w:widowControl w:val="0"/>
        <w:numPr>
          <w:ilvl w:val="-1"/>
          <w:numId w:val="0"/>
        </w:numPr>
        <w:adjustRightInd w:val="0"/>
        <w:spacing w:line="360" w:lineRule="auto"/>
        <w:ind w:left="766" w:leftChars="365" w:firstLine="0" w:firstLineChars="0"/>
        <w:jc w:val="both"/>
        <w:outlineLvl w:val="9"/>
        <w:rPr>
          <w:rFonts w:ascii="Times New Roman" w:hAnsi="Times New Roman" w:cs="Times New Roman"/>
          <w:sz w:val="24"/>
          <w:szCs w:val="28"/>
          <w:lang w:bidi="ar"/>
        </w:rPr>
      </w:pPr>
      <w:r>
        <w:rPr>
          <w:rFonts w:ascii="Times New Roman" w:hAnsi="Times New Roman" w:cs="Times New Roman"/>
          <w:sz w:val="24"/>
          <w:szCs w:val="28"/>
          <w:lang w:bidi="ar"/>
        </w:rPr>
        <w:t>嘴用水效率限定值及用水效率等级》GB 25501、《坐便器用水效率限定值及用水效率等级》GB 25502、《小便器用水效率限定值及用水效率等级》GB 28377、《淋浴器用水效率限定值及用水效率等级》GB 28378 和《便器冲洗阀用水效率限定值及用水效率等级》GB 28379等的规定；</w:t>
      </w:r>
    </w:p>
    <w:p>
      <w:pPr>
        <w:widowControl w:val="0"/>
        <w:numPr>
          <w:ilvl w:val="0"/>
          <w:numId w:val="134"/>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kern w:val="2"/>
          <w:sz w:val="24"/>
          <w:szCs w:val="28"/>
          <w:lang w:val="en-US" w:eastAsia="zh-CN" w:bidi="ar"/>
        </w:rPr>
        <w:t>现场核查卫生器具型号与检测报告的符合性。</w:t>
      </w:r>
    </w:p>
    <w:p>
      <w:pPr>
        <w:widowControl w:val="0"/>
        <w:numPr>
          <w:ilvl w:val="0"/>
          <w:numId w:val="133"/>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检验成果：卫生器具用水效率检验报告。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7.2.3</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节水灌溉设备及技术检验应符合下列规定：</w:t>
      </w:r>
    </w:p>
    <w:p>
      <w:pPr>
        <w:widowControl w:val="0"/>
        <w:numPr>
          <w:ilvl w:val="0"/>
          <w:numId w:val="135"/>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检验内容：土壤湿度感应器、雨天自动关闭装置</w:t>
      </w:r>
      <w:r>
        <w:rPr>
          <w:rFonts w:ascii="Times New Roman" w:hAnsi="Times New Roman" w:eastAsia="宋体" w:cs="Times New Roman"/>
          <w:b w:val="0"/>
          <w:bCs/>
          <w:kern w:val="28"/>
          <w:sz w:val="24"/>
          <w:szCs w:val="32"/>
          <w:lang w:val="zh-CN" w:eastAsia="zh" w:bidi="ar-SA"/>
        </w:rPr>
        <w:t>。</w:t>
      </w:r>
    </w:p>
    <w:p>
      <w:pPr>
        <w:widowControl w:val="0"/>
        <w:numPr>
          <w:ilvl w:val="0"/>
          <w:numId w:val="135"/>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numPr>
          <w:ilvl w:val="0"/>
          <w:numId w:val="136"/>
        </w:numPr>
        <w:adjustRightInd w:val="0"/>
        <w:spacing w:line="360" w:lineRule="auto"/>
        <w:ind w:firstLine="567" w:firstLineChars="0"/>
        <w:jc w:val="both"/>
        <w:outlineLvl w:val="9"/>
        <w:rPr>
          <w:rFonts w:ascii="Times New Roman" w:hAnsi="Times New Roman" w:cs="Times New Roman"/>
          <w:sz w:val="24"/>
          <w:szCs w:val="28"/>
          <w:lang w:bidi="ar"/>
        </w:rPr>
      </w:pPr>
      <w:r>
        <w:rPr>
          <w:rFonts w:ascii="Times New Roman" w:hAnsi="Times New Roman" w:cs="Times New Roman"/>
          <w:sz w:val="24"/>
          <w:szCs w:val="28"/>
          <w:lang w:bidi="ar"/>
        </w:rPr>
        <w:t>核查项目场地节水灌溉系统设置运行情况；</w:t>
      </w:r>
    </w:p>
    <w:p>
      <w:pPr>
        <w:numPr>
          <w:ilvl w:val="0"/>
          <w:numId w:val="136"/>
        </w:numPr>
        <w:adjustRightInd w:val="0"/>
        <w:spacing w:line="360" w:lineRule="auto"/>
        <w:ind w:firstLine="567" w:firstLineChars="0"/>
        <w:jc w:val="both"/>
        <w:outlineLvl w:val="9"/>
        <w:rPr>
          <w:rFonts w:ascii="Times New Roman" w:hAnsi="Times New Roman" w:cs="Times New Roman"/>
          <w:sz w:val="24"/>
          <w:szCs w:val="28"/>
          <w:lang w:bidi="ar"/>
        </w:rPr>
      </w:pPr>
      <w:r>
        <w:rPr>
          <w:rFonts w:ascii="Times New Roman" w:hAnsi="Times New Roman" w:cs="Times New Roman"/>
          <w:sz w:val="24"/>
          <w:szCs w:val="28"/>
          <w:lang w:bidi="ar"/>
        </w:rPr>
        <w:t>核查节水灌溉系统设施是否覆盖项目90%以上的绿化</w:t>
      </w:r>
      <w:r>
        <w:rPr>
          <w:rFonts w:ascii="Times New Roman" w:hAnsi="Times New Roman" w:cs="Times New Roman"/>
          <w:sz w:val="24"/>
          <w:szCs w:val="28"/>
          <w:lang w:eastAsia="zh-CN" w:bidi="ar"/>
        </w:rPr>
        <w:t>；</w:t>
      </w:r>
    </w:p>
    <w:p>
      <w:pPr>
        <w:numPr>
          <w:ilvl w:val="0"/>
          <w:numId w:val="136"/>
        </w:numPr>
        <w:adjustRightInd w:val="0"/>
        <w:spacing w:line="360" w:lineRule="auto"/>
        <w:ind w:firstLine="567" w:firstLineChars="0"/>
        <w:jc w:val="both"/>
        <w:outlineLvl w:val="9"/>
        <w:rPr>
          <w:rFonts w:ascii="Times New Roman" w:hAnsi="Times New Roman" w:cs="Times New Roman"/>
          <w:sz w:val="24"/>
          <w:szCs w:val="28"/>
          <w:lang w:bidi="ar"/>
        </w:rPr>
      </w:pPr>
      <w:r>
        <w:rPr>
          <w:rFonts w:ascii="Times New Roman" w:hAnsi="Times New Roman" w:cs="Times New Roman"/>
          <w:sz w:val="24"/>
          <w:szCs w:val="28"/>
          <w:lang w:eastAsia="zh-CN" w:bidi="ar"/>
        </w:rPr>
        <w:t>核</w:t>
      </w:r>
      <w:r>
        <w:rPr>
          <w:rFonts w:ascii="Times New Roman" w:hAnsi="Times New Roman" w:cs="Times New Roman"/>
          <w:sz w:val="24"/>
          <w:szCs w:val="28"/>
          <w:lang w:bidi="ar"/>
        </w:rPr>
        <w:t>查土壤湿度感应器、雨天自动关闭装置等节水控制措施安装运行</w:t>
      </w:r>
    </w:p>
    <w:p>
      <w:pPr>
        <w:numPr>
          <w:ilvl w:val="-1"/>
          <w:numId w:val="0"/>
        </w:numPr>
        <w:adjustRightInd w:val="0"/>
        <w:spacing w:line="360" w:lineRule="auto"/>
        <w:ind w:left="992" w:firstLine="240" w:firstLineChars="100"/>
        <w:jc w:val="both"/>
        <w:outlineLvl w:val="9"/>
        <w:rPr>
          <w:rFonts w:ascii="Times New Roman" w:hAnsi="Times New Roman" w:cs="Times New Roman"/>
          <w:sz w:val="24"/>
          <w:szCs w:val="28"/>
          <w:lang w:bidi="ar"/>
        </w:rPr>
      </w:pPr>
      <w:r>
        <w:rPr>
          <w:rFonts w:ascii="Times New Roman" w:hAnsi="Times New Roman" w:cs="Times New Roman"/>
          <w:sz w:val="24"/>
          <w:szCs w:val="28"/>
          <w:lang w:bidi="ar"/>
        </w:rPr>
        <w:t>情况</w:t>
      </w:r>
      <w:r>
        <w:rPr>
          <w:rFonts w:hint="eastAsia" w:cs="Times New Roman"/>
          <w:sz w:val="24"/>
          <w:szCs w:val="28"/>
          <w:lang w:eastAsia="zh-CN" w:bidi="ar"/>
        </w:rPr>
        <w:t>。</w:t>
      </w:r>
    </w:p>
    <w:p>
      <w:pPr>
        <w:widowControl w:val="0"/>
        <w:numPr>
          <w:ilvl w:val="0"/>
          <w:numId w:val="135"/>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检验成果：节水灌溉措施检验报告。</w:t>
      </w:r>
    </w:p>
    <w:p>
      <w:pPr>
        <w:widowControl/>
        <w:numPr>
          <w:ilvl w:val="2"/>
          <w:numId w:val="0"/>
        </w:numPr>
        <w:spacing w:line="360" w:lineRule="auto"/>
        <w:jc w:val="both"/>
        <w:rPr>
          <w:rFonts w:ascii="Times New Roman" w:hAnsi="Times New Roman" w:cs="Times New Roman"/>
          <w:b/>
          <w:sz w:val="24"/>
          <w:szCs w:val="24"/>
        </w:rPr>
      </w:pPr>
      <w:r>
        <w:rPr>
          <w:rFonts w:hint="default" w:ascii="Times New Roman" w:hAnsi="Times New Roman" w:eastAsia="宋体" w:cs="Times New Roman"/>
          <w:b/>
          <w:color w:val="auto"/>
          <w:kern w:val="2"/>
          <w:sz w:val="24"/>
          <w:szCs w:val="24"/>
          <w:lang w:val="en-US" w:eastAsia="zh-CN" w:bidi="ar-SA"/>
        </w:rPr>
        <w:t>7.2.4</w:t>
      </w:r>
      <w:r>
        <w:rPr>
          <w:rFonts w:hint="eastAsia" w:cs="Times New Roman"/>
          <w:b/>
          <w:color w:val="auto"/>
          <w:kern w:val="2"/>
          <w:sz w:val="24"/>
          <w:szCs w:val="24"/>
          <w:lang w:val="en-US" w:eastAsia="zh-CN" w:bidi="ar-SA"/>
        </w:rPr>
        <w:t xml:space="preserve">   </w:t>
      </w:r>
      <w:r>
        <w:rPr>
          <w:rFonts w:ascii="Times New Roman" w:hAnsi="Times New Roman" w:cs="Times New Roman"/>
          <w:sz w:val="24"/>
          <w:szCs w:val="24"/>
          <w:lang w:bidi="ar"/>
        </w:rPr>
        <w:t>无需永久灌溉植物种植面积比例</w:t>
      </w:r>
      <w:r>
        <w:rPr>
          <w:rFonts w:ascii="Times New Roman" w:hAnsi="Times New Roman" w:cs="Times New Roman"/>
          <w:sz w:val="24"/>
          <w:szCs w:val="24"/>
        </w:rPr>
        <w:t>的检验应符合下列规定：</w:t>
      </w:r>
    </w:p>
    <w:p>
      <w:pPr>
        <w:widowControl/>
        <w:numPr>
          <w:ilvl w:val="0"/>
          <w:numId w:val="137"/>
        </w:numPr>
        <w:spacing w:line="360" w:lineRule="auto"/>
        <w:ind w:left="0" w:firstLine="480" w:firstLineChars="200"/>
        <w:jc w:val="both"/>
        <w:rPr>
          <w:rFonts w:ascii="Times New Roman" w:hAnsi="Times New Roman" w:cs="Times New Roman"/>
          <w:b/>
          <w:sz w:val="24"/>
          <w:szCs w:val="24"/>
        </w:rPr>
      </w:pPr>
      <w:r>
        <w:rPr>
          <w:rFonts w:ascii="Times New Roman" w:hAnsi="Times New Roman" w:cs="Times New Roman"/>
          <w:sz w:val="24"/>
          <w:szCs w:val="24"/>
        </w:rPr>
        <w:t>检验内容：</w:t>
      </w:r>
      <w:r>
        <w:rPr>
          <w:rFonts w:ascii="Times New Roman" w:hAnsi="Times New Roman" w:cs="Times New Roman"/>
          <w:sz w:val="24"/>
          <w:szCs w:val="24"/>
          <w:lang w:bidi="ar"/>
        </w:rPr>
        <w:t>无需永久灌溉植物的种植情况</w:t>
      </w:r>
      <w:r>
        <w:rPr>
          <w:rFonts w:ascii="Times New Roman" w:hAnsi="Times New Roman" w:cs="Times New Roman"/>
          <w:b/>
          <w:sz w:val="24"/>
          <w:szCs w:val="24"/>
        </w:rPr>
        <w:t>。</w:t>
      </w:r>
    </w:p>
    <w:p>
      <w:pPr>
        <w:widowControl w:val="0"/>
        <w:numPr>
          <w:ilvl w:val="0"/>
          <w:numId w:val="137"/>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numPr>
          <w:ilvl w:val="0"/>
          <w:numId w:val="138"/>
        </w:numPr>
        <w:adjustRightInd w:val="0"/>
        <w:spacing w:line="360" w:lineRule="auto"/>
        <w:ind w:left="0" w:firstLine="567"/>
        <w:jc w:val="both"/>
        <w:outlineLvl w:val="9"/>
        <w:rPr>
          <w:rFonts w:ascii="Times New Roman" w:hAnsi="Times New Roman" w:cs="Times New Roman"/>
          <w:sz w:val="24"/>
          <w:szCs w:val="28"/>
          <w:lang w:bidi="ar"/>
        </w:rPr>
      </w:pPr>
      <w:r>
        <w:rPr>
          <w:rFonts w:ascii="Times New Roman" w:hAnsi="Times New Roman" w:cs="Times New Roman"/>
          <w:sz w:val="24"/>
          <w:szCs w:val="28"/>
          <w:lang w:bidi="ar"/>
        </w:rPr>
        <w:t>核查无需永久灌溉植物的植物种类是否符合当地植物名录表中无需永久</w:t>
      </w:r>
    </w:p>
    <w:p>
      <w:pPr>
        <w:numPr>
          <w:ilvl w:val="-1"/>
          <w:numId w:val="0"/>
        </w:numPr>
        <w:adjustRightInd w:val="0"/>
        <w:spacing w:line="360" w:lineRule="auto"/>
        <w:ind w:left="567" w:firstLine="240" w:firstLineChars="100"/>
        <w:jc w:val="both"/>
        <w:outlineLvl w:val="9"/>
        <w:rPr>
          <w:rFonts w:ascii="Times New Roman" w:hAnsi="Times New Roman" w:cs="Times New Roman"/>
          <w:sz w:val="24"/>
          <w:szCs w:val="28"/>
          <w:lang w:bidi="ar"/>
        </w:rPr>
      </w:pPr>
      <w:r>
        <w:rPr>
          <w:rFonts w:ascii="Times New Roman" w:hAnsi="Times New Roman" w:cs="Times New Roman"/>
          <w:sz w:val="24"/>
          <w:szCs w:val="28"/>
          <w:lang w:bidi="ar"/>
        </w:rPr>
        <w:t>灌溉植物；</w:t>
      </w:r>
    </w:p>
    <w:p>
      <w:pPr>
        <w:numPr>
          <w:ilvl w:val="0"/>
          <w:numId w:val="138"/>
        </w:numPr>
        <w:adjustRightInd w:val="0"/>
        <w:spacing w:line="360" w:lineRule="auto"/>
        <w:ind w:left="0" w:firstLine="567"/>
        <w:jc w:val="both"/>
        <w:outlineLvl w:val="9"/>
        <w:rPr>
          <w:rFonts w:ascii="Times New Roman" w:hAnsi="Times New Roman" w:cs="Times New Roman"/>
          <w:sz w:val="24"/>
          <w:szCs w:val="28"/>
          <w:lang w:bidi="ar"/>
        </w:rPr>
      </w:pPr>
      <w:r>
        <w:rPr>
          <w:rFonts w:ascii="Times New Roman" w:hAnsi="Times New Roman" w:cs="Times New Roman"/>
          <w:sz w:val="24"/>
          <w:szCs w:val="28"/>
          <w:lang w:bidi="ar"/>
        </w:rPr>
        <w:t>核查无需永久灌溉植物的种植面积是否满足50%以上绿地</w:t>
      </w:r>
      <w:r>
        <w:rPr>
          <w:rFonts w:hint="eastAsia" w:cs="Times New Roman"/>
          <w:sz w:val="24"/>
          <w:szCs w:val="28"/>
          <w:lang w:eastAsia="zh-CN" w:bidi="ar"/>
        </w:rPr>
        <w:t>。</w:t>
      </w:r>
    </w:p>
    <w:p>
      <w:pPr>
        <w:widowControl/>
        <w:numPr>
          <w:ilvl w:val="0"/>
          <w:numId w:val="137"/>
        </w:numPr>
        <w:spacing w:line="360" w:lineRule="auto"/>
        <w:ind w:left="0" w:firstLine="480" w:firstLineChars="200"/>
        <w:jc w:val="both"/>
        <w:rPr>
          <w:rFonts w:ascii="Times New Roman" w:hAnsi="Times New Roman" w:cs="Times New Roman"/>
          <w:sz w:val="24"/>
          <w:szCs w:val="24"/>
        </w:rPr>
      </w:pPr>
      <w:r>
        <w:rPr>
          <w:rFonts w:ascii="Times New Roman" w:hAnsi="Times New Roman" w:cs="Times New Roman"/>
          <w:sz w:val="24"/>
          <w:szCs w:val="24"/>
        </w:rPr>
        <w:t>检验成果：</w:t>
      </w:r>
      <w:r>
        <w:rPr>
          <w:rFonts w:ascii="Times New Roman" w:hAnsi="Times New Roman" w:cs="Times New Roman"/>
          <w:sz w:val="24"/>
          <w:szCs w:val="24"/>
          <w:lang w:bidi="ar"/>
        </w:rPr>
        <w:t>无需永久灌溉植物种植面积比例</w:t>
      </w:r>
      <w:r>
        <w:rPr>
          <w:rFonts w:ascii="Times New Roman" w:hAnsi="Times New Roman" w:cs="Times New Roman"/>
          <w:sz w:val="24"/>
          <w:szCs w:val="24"/>
        </w:rPr>
        <w:t>检验报告。</w:t>
      </w:r>
    </w:p>
    <w:p>
      <w:pPr>
        <w:spacing w:line="360" w:lineRule="auto"/>
        <w:ind w:left="959" w:leftChars="228" w:hanging="480" w:hangingChars="200"/>
        <w:jc w:val="both"/>
        <w:rPr>
          <w:rFonts w:ascii="Times New Roman" w:hAnsi="Times New Roman" w:cs="Times New Roman"/>
          <w:sz w:val="24"/>
          <w:szCs w:val="24"/>
        </w:rPr>
      </w:pPr>
    </w:p>
    <w:p>
      <w:pPr>
        <w:widowControl/>
        <w:spacing w:line="360" w:lineRule="auto"/>
        <w:ind w:firstLine="480" w:firstLineChars="200"/>
        <w:jc w:val="left"/>
        <w:rPr>
          <w:color w:val="000000"/>
          <w:kern w:val="0"/>
          <w:sz w:val="24"/>
        </w:rPr>
        <w:sectPr>
          <w:pgSz w:w="11906" w:h="16838"/>
          <w:pgMar w:top="1440" w:right="1800" w:bottom="1440" w:left="1800" w:header="851" w:footer="992" w:gutter="0"/>
          <w:pgNumType w:fmt="decimal"/>
          <w:cols w:space="720" w:num="1"/>
          <w:docGrid w:type="lines" w:linePitch="312" w:charSpace="0"/>
        </w:sectPr>
      </w:pPr>
    </w:p>
    <w:p>
      <w:pPr>
        <w:keepNext/>
        <w:keepLines/>
        <w:widowControl w:val="0"/>
        <w:numPr>
          <w:ilvl w:val="0"/>
          <w:numId w:val="0"/>
        </w:numPr>
        <w:spacing w:before="340" w:after="330" w:line="578" w:lineRule="auto"/>
        <w:ind w:left="425" w:leftChars="0" w:hanging="425" w:firstLineChars="0"/>
        <w:jc w:val="center"/>
        <w:outlineLvl w:val="0"/>
        <w:rPr>
          <w:rFonts w:ascii="Times New Roman" w:hAnsi="Times New Roman" w:eastAsia="宋体" w:cs="Times New Roman"/>
          <w:b/>
          <w:bCs/>
          <w:kern w:val="44"/>
          <w:sz w:val="28"/>
          <w:szCs w:val="28"/>
          <w:lang w:val="en-US" w:eastAsia="zh-CN" w:bidi="ar-SA"/>
        </w:rPr>
      </w:pPr>
      <w:bookmarkStart w:id="61" w:name="_Toc204157431"/>
      <w:r>
        <w:rPr>
          <w:rFonts w:hint="eastAsia" w:ascii="Times New Roman" w:hAnsi="Times New Roman" w:eastAsia="宋体" w:cs="Times New Roman"/>
          <w:b/>
          <w:bCs/>
          <w:kern w:val="44"/>
          <w:sz w:val="28"/>
          <w:szCs w:val="28"/>
          <w:lang w:val="en-US" w:eastAsia="zh-CN" w:bidi="ar-SA"/>
        </w:rPr>
        <w:t>8</w:t>
      </w:r>
      <w:r>
        <w:rPr>
          <w:rFonts w:ascii="Times New Roman" w:hAnsi="Times New Roman" w:eastAsia="宋体" w:cs="Times New Roman"/>
          <w:b/>
          <w:bCs/>
          <w:kern w:val="44"/>
          <w:sz w:val="28"/>
          <w:szCs w:val="28"/>
          <w:lang w:val="en-US" w:eastAsia="zh-CN" w:bidi="ar-SA"/>
        </w:rPr>
        <w:t>环境宜居</w:t>
      </w:r>
      <w:bookmarkEnd w:id="61"/>
    </w:p>
    <w:p>
      <w:pPr>
        <w:widowControl w:val="0"/>
        <w:numPr>
          <w:ilvl w:val="1"/>
          <w:numId w:val="0"/>
        </w:numPr>
        <w:spacing w:before="312" w:beforeLines="100" w:after="0" w:line="360" w:lineRule="auto"/>
        <w:ind w:left="567" w:leftChars="0" w:hanging="567" w:firstLineChars="0"/>
        <w:jc w:val="center"/>
        <w:outlineLvl w:val="1"/>
        <w:rPr>
          <w:rFonts w:ascii="Times New Roman" w:hAnsi="Times New Roman" w:eastAsia="黑体" w:cs="Times New Roman"/>
          <w:b/>
          <w:bCs/>
          <w:kern w:val="28"/>
          <w:sz w:val="24"/>
          <w:szCs w:val="32"/>
          <w:lang w:val="zh-CN" w:eastAsia="zh-CN" w:bidi="ar-SA"/>
        </w:rPr>
      </w:pPr>
      <w:bookmarkStart w:id="62" w:name="_Toc204157432"/>
      <w:r>
        <w:rPr>
          <w:rFonts w:hint="default" w:ascii="Times New Roman" w:hAnsi="Times New Roman" w:eastAsia="黑体" w:cs="Times New Roman"/>
          <w:b/>
          <w:bCs/>
          <w:kern w:val="28"/>
          <w:sz w:val="24"/>
          <w:szCs w:val="32"/>
          <w:lang w:val="zh-CN" w:eastAsia="zh-CN" w:bidi="ar-SA"/>
        </w:rPr>
        <w:t>8.1</w:t>
      </w:r>
      <w:r>
        <w:rPr>
          <w:rFonts w:ascii="Times New Roman" w:hAnsi="Times New Roman" w:eastAsia="黑体" w:cs="Times New Roman"/>
          <w:b/>
          <w:bCs/>
          <w:kern w:val="28"/>
          <w:sz w:val="24"/>
          <w:szCs w:val="32"/>
          <w:lang w:val="zh-CN" w:eastAsia="zh-CN" w:bidi="ar-SA"/>
        </w:rPr>
        <w:t>场地生态与景观</w:t>
      </w:r>
      <w:bookmarkEnd w:id="62"/>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8.1.1</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场地生态环境</w:t>
      </w:r>
      <w:r>
        <w:rPr>
          <w:rFonts w:ascii="Times New Roman" w:hAnsi="Times New Roman" w:eastAsia="宋体" w:cs="Times New Roman"/>
          <w:b w:val="0"/>
          <w:bCs/>
          <w:kern w:val="28"/>
          <w:sz w:val="24"/>
          <w:szCs w:val="32"/>
          <w:lang w:val="zh-CN" w:eastAsia="zh" w:bidi="ar-SA"/>
        </w:rPr>
        <w:t>的检验应符合下列规定：</w:t>
      </w:r>
    </w:p>
    <w:p>
      <w:pPr>
        <w:widowControl w:val="0"/>
        <w:numPr>
          <w:ilvl w:val="0"/>
          <w:numId w:val="139"/>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检验内容：场地内土地资源的利用。</w:t>
      </w:r>
    </w:p>
    <w:p>
      <w:pPr>
        <w:widowControl w:val="0"/>
        <w:numPr>
          <w:ilvl w:val="0"/>
          <w:numId w:val="139"/>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numPr>
          <w:ilvl w:val="0"/>
          <w:numId w:val="140"/>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kern w:val="2"/>
          <w:sz w:val="24"/>
          <w:szCs w:val="28"/>
          <w:lang w:val="en-US" w:eastAsia="zh-CN" w:bidi="ar"/>
        </w:rPr>
        <w:t>查阅场地生态诊断报告、场地原始地形图、总图专业竣工图、园林景观</w:t>
      </w:r>
    </w:p>
    <w:p>
      <w:pPr>
        <w:widowControl/>
        <w:numPr>
          <w:ilvl w:val="-1"/>
          <w:numId w:val="0"/>
        </w:numPr>
        <w:adjustRightInd w:val="0"/>
        <w:spacing w:line="360" w:lineRule="auto"/>
        <w:ind w:left="766" w:leftChars="365" w:firstLine="0" w:firstLineChars="0"/>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kern w:val="2"/>
          <w:sz w:val="24"/>
          <w:szCs w:val="28"/>
          <w:lang w:val="en-US" w:eastAsia="zh-CN" w:bidi="ar"/>
        </w:rPr>
        <w:t>专业总图竣工图、土方平衡测算报告、可再生资源利用分析报告、施工组织文件、施工记录、表层图收集利用量计算书以及现场照片等相关资料；</w:t>
      </w:r>
    </w:p>
    <w:p>
      <w:pPr>
        <w:widowControl/>
        <w:numPr>
          <w:ilvl w:val="0"/>
          <w:numId w:val="140"/>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kern w:val="2"/>
          <w:sz w:val="24"/>
          <w:szCs w:val="28"/>
          <w:lang w:val="en-US" w:eastAsia="zh-CN" w:bidi="ar"/>
        </w:rPr>
        <w:t>现场核查生态诊断报告的符合性。</w:t>
      </w:r>
    </w:p>
    <w:p>
      <w:pPr>
        <w:widowControl w:val="0"/>
        <w:numPr>
          <w:ilvl w:val="0"/>
          <w:numId w:val="139"/>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检验成果：场地内土地资源利用检验报告。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8.1.2</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场地地表和屋面雨水径流</w:t>
      </w:r>
      <w:r>
        <w:rPr>
          <w:rFonts w:ascii="Times New Roman" w:hAnsi="Times New Roman" w:eastAsia="宋体" w:cs="Times New Roman"/>
          <w:b w:val="0"/>
          <w:bCs/>
          <w:kern w:val="28"/>
          <w:sz w:val="24"/>
          <w:szCs w:val="32"/>
          <w:lang w:val="zh-CN" w:eastAsia="zh" w:bidi="ar-SA"/>
        </w:rPr>
        <w:t>的检验应符合下列规定：</w:t>
      </w:r>
    </w:p>
    <w:p>
      <w:pPr>
        <w:widowControl w:val="0"/>
        <w:numPr>
          <w:ilvl w:val="0"/>
          <w:numId w:val="141"/>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检验内容：场地年径流总量控制率。</w:t>
      </w:r>
    </w:p>
    <w:p>
      <w:pPr>
        <w:widowControl w:val="0"/>
        <w:numPr>
          <w:ilvl w:val="0"/>
          <w:numId w:val="141"/>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numPr>
          <w:ilvl w:val="0"/>
          <w:numId w:val="142"/>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kern w:val="2"/>
          <w:sz w:val="24"/>
          <w:szCs w:val="28"/>
          <w:lang w:val="en-US" w:eastAsia="zh-CN" w:bidi="ar"/>
        </w:rPr>
        <w:t>查阅当地降雨统计资料、相关竣工图、设计控制雨量计算书、场地年径</w:t>
      </w:r>
    </w:p>
    <w:p>
      <w:pPr>
        <w:widowControl/>
        <w:numPr>
          <w:ilvl w:val="-1"/>
          <w:numId w:val="0"/>
        </w:numPr>
        <w:adjustRightInd w:val="0"/>
        <w:spacing w:line="360" w:lineRule="auto"/>
        <w:ind w:left="567" w:firstLine="240" w:firstLineChars="100"/>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kern w:val="2"/>
          <w:sz w:val="24"/>
          <w:szCs w:val="28"/>
          <w:lang w:val="en-US" w:eastAsia="zh-CN" w:bidi="ar"/>
        </w:rPr>
        <w:t>流量控制报告等海绵城市验收文件及现场照片等相关资料；</w:t>
      </w:r>
    </w:p>
    <w:p>
      <w:pPr>
        <w:widowControl/>
        <w:numPr>
          <w:ilvl w:val="0"/>
          <w:numId w:val="142"/>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kern w:val="2"/>
          <w:sz w:val="24"/>
          <w:szCs w:val="28"/>
          <w:lang w:val="en-US" w:eastAsia="zh-CN" w:bidi="ar"/>
        </w:rPr>
        <w:t>现场核查设计计算的符合性。</w:t>
      </w:r>
    </w:p>
    <w:p>
      <w:pPr>
        <w:widowControl w:val="0"/>
        <w:numPr>
          <w:ilvl w:val="0"/>
          <w:numId w:val="141"/>
        </w:numPr>
        <w:spacing w:before="0" w:after="0" w:line="360" w:lineRule="auto"/>
        <w:ind w:left="0" w:firstLine="480" w:firstLineChars="200"/>
        <w:jc w:val="both"/>
        <w:outlineLvl w:val="9"/>
        <w:rPr>
          <w:rFonts w:ascii="Times New Roman" w:hAnsi="Times New Roman" w:eastAsia="黑体" w:cs="Times New Roman"/>
          <w:b/>
          <w:bCs/>
          <w:color w:val="000000"/>
          <w:kern w:val="0"/>
          <w:sz w:val="24"/>
          <w:szCs w:val="32"/>
          <w:lang w:val="zh-CN" w:eastAsia="zh-CN" w:bidi="ar-SA"/>
        </w:rPr>
      </w:pPr>
      <w:r>
        <w:rPr>
          <w:rFonts w:ascii="Times New Roman" w:hAnsi="Times New Roman" w:eastAsia="宋体" w:cs="Times New Roman"/>
          <w:b w:val="0"/>
          <w:bCs/>
          <w:kern w:val="28"/>
          <w:sz w:val="24"/>
          <w:szCs w:val="32"/>
          <w:lang w:val="zh-CN" w:eastAsia="zh-CN" w:bidi="ar-SA"/>
        </w:rPr>
        <w:t>检验成果：场地年径流总量控制及相关设施运行检验报告。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8.1.3</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场地空间绿化用地</w:t>
      </w:r>
      <w:r>
        <w:rPr>
          <w:rFonts w:ascii="Times New Roman" w:hAnsi="Times New Roman" w:eastAsia="宋体" w:cs="Times New Roman"/>
          <w:b w:val="0"/>
          <w:bCs/>
          <w:kern w:val="28"/>
          <w:sz w:val="24"/>
          <w:szCs w:val="32"/>
          <w:lang w:val="zh-CN" w:eastAsia="zh" w:bidi="ar-SA"/>
        </w:rPr>
        <w:t>的检验应符合下列规定：</w:t>
      </w:r>
    </w:p>
    <w:p>
      <w:pPr>
        <w:widowControl w:val="0"/>
        <w:numPr>
          <w:ilvl w:val="0"/>
          <w:numId w:val="143"/>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检验内容：场地绿化覆盖率。</w:t>
      </w:r>
    </w:p>
    <w:p>
      <w:pPr>
        <w:widowControl w:val="0"/>
        <w:numPr>
          <w:ilvl w:val="0"/>
          <w:numId w:val="143"/>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numPr>
          <w:ilvl w:val="0"/>
          <w:numId w:val="144"/>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kern w:val="2"/>
          <w:sz w:val="24"/>
          <w:szCs w:val="28"/>
          <w:lang w:val="en-US" w:eastAsia="zh-CN" w:bidi="ar"/>
        </w:rPr>
        <w:t>查阅总图专业竣工图、景观园林总图及绿化竣工图、日照分析文件、绿</w:t>
      </w:r>
    </w:p>
    <w:p>
      <w:pPr>
        <w:widowControl/>
        <w:numPr>
          <w:ilvl w:val="-1"/>
          <w:numId w:val="0"/>
        </w:numPr>
        <w:adjustRightInd w:val="0"/>
        <w:spacing w:line="360" w:lineRule="auto"/>
        <w:ind w:left="567" w:firstLine="240" w:firstLineChars="100"/>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kern w:val="2"/>
          <w:sz w:val="24"/>
          <w:szCs w:val="28"/>
          <w:lang w:val="en-US" w:eastAsia="zh-CN" w:bidi="ar"/>
        </w:rPr>
        <w:t>化验收文件及现场照片等相关资料；</w:t>
      </w:r>
    </w:p>
    <w:p>
      <w:pPr>
        <w:widowControl/>
        <w:numPr>
          <w:ilvl w:val="0"/>
          <w:numId w:val="144"/>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kern w:val="2"/>
          <w:sz w:val="24"/>
          <w:szCs w:val="28"/>
          <w:lang w:val="en-US" w:eastAsia="zh-CN" w:bidi="ar"/>
        </w:rPr>
        <w:t>现场核查乔灌草栽种情况和实施区域的符合性；</w:t>
      </w:r>
    </w:p>
    <w:p>
      <w:pPr>
        <w:widowControl/>
        <w:numPr>
          <w:ilvl w:val="0"/>
          <w:numId w:val="144"/>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kern w:val="2"/>
          <w:sz w:val="24"/>
          <w:szCs w:val="28"/>
          <w:lang w:val="en-US" w:eastAsia="zh-CN" w:bidi="ar"/>
        </w:rPr>
        <w:t>现场调研绿地向公众开放的落实情况及管理方式。</w:t>
      </w:r>
    </w:p>
    <w:p>
      <w:pPr>
        <w:widowControl w:val="0"/>
        <w:numPr>
          <w:ilvl w:val="0"/>
          <w:numId w:val="143"/>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检验成果：场地绿化覆盖率检验报告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8.1.4</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室外吸烟区位置布局</w:t>
      </w:r>
      <w:r>
        <w:rPr>
          <w:rFonts w:ascii="Times New Roman" w:hAnsi="Times New Roman" w:eastAsia="宋体" w:cs="Times New Roman"/>
          <w:b w:val="0"/>
          <w:bCs/>
          <w:kern w:val="28"/>
          <w:sz w:val="24"/>
          <w:szCs w:val="32"/>
          <w:lang w:val="zh-CN" w:eastAsia="zh" w:bidi="ar-SA"/>
        </w:rPr>
        <w:t>的检验应符合下列规定：</w:t>
      </w:r>
    </w:p>
    <w:p>
      <w:pPr>
        <w:widowControl w:val="0"/>
        <w:numPr>
          <w:ilvl w:val="0"/>
          <w:numId w:val="145"/>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检验内容：场地红线内室外吸烟区布局。</w:t>
      </w:r>
    </w:p>
    <w:p>
      <w:pPr>
        <w:widowControl w:val="0"/>
        <w:numPr>
          <w:ilvl w:val="0"/>
          <w:numId w:val="145"/>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numPr>
          <w:ilvl w:val="0"/>
          <w:numId w:val="146"/>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kern w:val="2"/>
          <w:sz w:val="24"/>
          <w:szCs w:val="28"/>
          <w:lang w:val="en-US" w:eastAsia="zh-CN" w:bidi="ar"/>
        </w:rPr>
        <w:t>查阅总图专业竣工图、景观园林专业总图竣工图、标识系统施工图及现</w:t>
      </w:r>
    </w:p>
    <w:p>
      <w:pPr>
        <w:widowControl/>
        <w:numPr>
          <w:ilvl w:val="-1"/>
          <w:numId w:val="0"/>
        </w:numPr>
        <w:adjustRightInd w:val="0"/>
        <w:spacing w:line="360" w:lineRule="auto"/>
        <w:ind w:left="567" w:firstLine="240" w:firstLineChars="100"/>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kern w:val="2"/>
          <w:sz w:val="24"/>
          <w:szCs w:val="28"/>
          <w:lang w:val="en-US" w:eastAsia="zh-CN" w:bidi="ar"/>
        </w:rPr>
        <w:t>场照片等相关资料；</w:t>
      </w:r>
    </w:p>
    <w:p>
      <w:pPr>
        <w:widowControl/>
        <w:numPr>
          <w:ilvl w:val="0"/>
          <w:numId w:val="146"/>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kern w:val="2"/>
          <w:sz w:val="24"/>
          <w:szCs w:val="28"/>
          <w:lang w:val="en-US" w:eastAsia="zh-CN" w:bidi="ar"/>
        </w:rPr>
        <w:t>现场核查室外吸烟区布局和标识（引导标识、安全警示标识、禁烟标识）</w:t>
      </w:r>
    </w:p>
    <w:p>
      <w:pPr>
        <w:widowControl/>
        <w:numPr>
          <w:ilvl w:val="-1"/>
          <w:numId w:val="0"/>
        </w:numPr>
        <w:adjustRightInd w:val="0"/>
        <w:spacing w:line="360" w:lineRule="auto"/>
        <w:ind w:left="567" w:firstLine="240" w:firstLineChars="100"/>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kern w:val="2"/>
          <w:sz w:val="24"/>
          <w:szCs w:val="28"/>
          <w:lang w:val="en-US" w:eastAsia="zh-CN" w:bidi="ar"/>
        </w:rPr>
        <w:t>的符合性。</w:t>
      </w:r>
    </w:p>
    <w:p>
      <w:pPr>
        <w:widowControl w:val="0"/>
        <w:numPr>
          <w:ilvl w:val="0"/>
          <w:numId w:val="145"/>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检验成果：场地红线内室外吸烟区布局的检验报告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8.1.5</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场地空间绿色雨水基础设施</w:t>
      </w:r>
      <w:r>
        <w:rPr>
          <w:rFonts w:ascii="Times New Roman" w:hAnsi="Times New Roman" w:eastAsia="宋体" w:cs="Times New Roman"/>
          <w:b w:val="0"/>
          <w:bCs/>
          <w:kern w:val="28"/>
          <w:sz w:val="24"/>
          <w:szCs w:val="32"/>
          <w:lang w:val="zh-CN" w:eastAsia="zh" w:bidi="ar-SA"/>
        </w:rPr>
        <w:t>的检验应符合下列规定：</w:t>
      </w:r>
    </w:p>
    <w:p>
      <w:pPr>
        <w:widowControl w:val="0"/>
        <w:numPr>
          <w:ilvl w:val="0"/>
          <w:numId w:val="147"/>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检验内容：海绵设施。</w:t>
      </w:r>
    </w:p>
    <w:p>
      <w:pPr>
        <w:widowControl w:val="0"/>
        <w:numPr>
          <w:ilvl w:val="0"/>
          <w:numId w:val="147"/>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val="0"/>
        <w:numPr>
          <w:ilvl w:val="0"/>
          <w:numId w:val="148"/>
        </w:numPr>
        <w:spacing w:line="360" w:lineRule="auto"/>
        <w:ind w:left="0" w:firstLine="420"/>
        <w:jc w:val="both"/>
        <w:outlineLvl w:val="9"/>
        <w:rPr>
          <w:rFonts w:ascii="Times New Roman" w:hAnsi="Times New Roman" w:eastAsia="宋体" w:cs="Times New Roman"/>
          <w:kern w:val="2"/>
          <w:sz w:val="24"/>
          <w:szCs w:val="28"/>
          <w:lang w:val="en-US" w:eastAsia="zh-CN" w:bidi="ar-SA"/>
        </w:rPr>
      </w:pPr>
      <w:r>
        <w:rPr>
          <w:rFonts w:ascii="Times New Roman" w:hAnsi="Times New Roman" w:eastAsia="宋体" w:cs="Times New Roman"/>
          <w:kern w:val="2"/>
          <w:sz w:val="24"/>
          <w:szCs w:val="28"/>
          <w:lang w:val="en-US" w:eastAsia="zh-CN" w:bidi="ar-SA"/>
        </w:rPr>
        <w:t>查阅地形图、总图专业竣工图、景观专业总图竣工图、海绵城市验收文件、场地雨水综合利用方案或雨水专项规划设计（大于10 hm</w:t>
      </w:r>
      <w:r>
        <w:rPr>
          <w:rFonts w:ascii="Times New Roman" w:hAnsi="Times New Roman" w:eastAsia="宋体" w:cs="Times New Roman"/>
          <w:kern w:val="2"/>
          <w:sz w:val="24"/>
          <w:szCs w:val="28"/>
          <w:vertAlign w:val="superscript"/>
          <w:lang w:val="en-US" w:eastAsia="zh-CN" w:bidi="ar-SA"/>
        </w:rPr>
        <w:t>2</w:t>
      </w:r>
      <w:r>
        <w:rPr>
          <w:rFonts w:ascii="Times New Roman" w:hAnsi="Times New Roman" w:eastAsia="宋体" w:cs="Times New Roman"/>
          <w:kern w:val="2"/>
          <w:sz w:val="24"/>
          <w:szCs w:val="28"/>
          <w:lang w:val="en-US" w:eastAsia="zh-CN" w:bidi="ar-SA"/>
        </w:rPr>
        <w:t>）的场地应查阅其雨水专项规划设计资料）、相关计算书及现场照片等相关资料；</w:t>
      </w:r>
    </w:p>
    <w:p>
      <w:pPr>
        <w:widowControl w:val="0"/>
        <w:numPr>
          <w:ilvl w:val="0"/>
          <w:numId w:val="148"/>
        </w:numPr>
        <w:spacing w:line="360" w:lineRule="auto"/>
        <w:ind w:left="0" w:firstLine="420"/>
        <w:jc w:val="both"/>
        <w:outlineLvl w:val="9"/>
        <w:rPr>
          <w:rFonts w:ascii="Times New Roman" w:hAnsi="Times New Roman" w:eastAsia="宋体" w:cs="Times New Roman"/>
          <w:kern w:val="2"/>
          <w:sz w:val="24"/>
          <w:szCs w:val="28"/>
          <w:lang w:val="en-US" w:eastAsia="zh-CN" w:bidi="ar-SA"/>
        </w:rPr>
      </w:pPr>
      <w:r>
        <w:rPr>
          <w:rFonts w:ascii="Times New Roman" w:hAnsi="Times New Roman" w:eastAsia="宋体" w:cs="Times New Roman"/>
          <w:kern w:val="2"/>
          <w:sz w:val="24"/>
          <w:szCs w:val="28"/>
          <w:lang w:val="en-US" w:eastAsia="zh-CN" w:bidi="ar-SA"/>
        </w:rPr>
        <w:t>现场核查海绵设施的符合性，核查海绵设施种类、规模及运行记录等。</w:t>
      </w:r>
    </w:p>
    <w:p>
      <w:pPr>
        <w:widowControl w:val="0"/>
        <w:numPr>
          <w:ilvl w:val="0"/>
          <w:numId w:val="147"/>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检验成果：海绵城市设施运行检验报告</w:t>
      </w:r>
    </w:p>
    <w:p>
      <w:pPr>
        <w:widowControl w:val="0"/>
        <w:numPr>
          <w:ilvl w:val="1"/>
          <w:numId w:val="0"/>
        </w:numPr>
        <w:spacing w:before="312" w:beforeLines="100" w:after="0" w:line="360" w:lineRule="auto"/>
        <w:ind w:left="567" w:leftChars="0" w:hanging="567" w:firstLineChars="0"/>
        <w:jc w:val="center"/>
        <w:outlineLvl w:val="1"/>
        <w:rPr>
          <w:rFonts w:ascii="Times New Roman" w:hAnsi="Times New Roman" w:eastAsia="黑体" w:cs="Times New Roman"/>
          <w:b/>
          <w:bCs/>
          <w:kern w:val="28"/>
          <w:sz w:val="24"/>
          <w:szCs w:val="32"/>
          <w:lang w:val="zh-CN" w:eastAsia="zh-CN" w:bidi="ar-SA"/>
        </w:rPr>
      </w:pPr>
      <w:bookmarkStart w:id="63" w:name="_Toc204157433"/>
      <w:r>
        <w:rPr>
          <w:rFonts w:hint="default" w:ascii="Times New Roman" w:hAnsi="Times New Roman" w:eastAsia="黑体" w:cs="Times New Roman"/>
          <w:b/>
          <w:bCs/>
          <w:kern w:val="28"/>
          <w:sz w:val="24"/>
          <w:szCs w:val="32"/>
          <w:lang w:val="zh-CN" w:eastAsia="zh-CN" w:bidi="ar-SA"/>
        </w:rPr>
        <w:t>8.2</w:t>
      </w:r>
      <w:r>
        <w:rPr>
          <w:rFonts w:ascii="Times New Roman" w:hAnsi="Times New Roman" w:eastAsia="黑体" w:cs="Times New Roman"/>
          <w:b/>
          <w:bCs/>
          <w:kern w:val="28"/>
          <w:sz w:val="24"/>
          <w:szCs w:val="32"/>
          <w:lang w:val="zh-CN" w:eastAsia="zh-CN" w:bidi="ar-SA"/>
        </w:rPr>
        <w:t>室外环境</w:t>
      </w:r>
      <w:bookmarkEnd w:id="63"/>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8.2.1</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环境噪声的检验应符合下列规定：</w:t>
      </w:r>
    </w:p>
    <w:p>
      <w:pPr>
        <w:widowControl w:val="0"/>
        <w:numPr>
          <w:ilvl w:val="0"/>
          <w:numId w:val="149"/>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检验内容：环境噪声。</w:t>
      </w:r>
    </w:p>
    <w:p>
      <w:pPr>
        <w:widowControl w:val="0"/>
        <w:numPr>
          <w:ilvl w:val="0"/>
          <w:numId w:val="149"/>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检验方法：可根据实际情况采用模拟分析法或现场检测法。</w:t>
      </w:r>
    </w:p>
    <w:p>
      <w:pPr>
        <w:widowControl/>
        <w:spacing w:line="360" w:lineRule="auto"/>
        <w:jc w:val="left"/>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方法一：模拟分析法</w:t>
      </w:r>
    </w:p>
    <w:p>
      <w:pPr>
        <w:widowControl/>
        <w:numPr>
          <w:ilvl w:val="0"/>
          <w:numId w:val="150"/>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kern w:val="2"/>
          <w:sz w:val="24"/>
          <w:szCs w:val="28"/>
          <w:lang w:val="en-US" w:eastAsia="zh-CN" w:bidi="ar"/>
        </w:rPr>
        <w:t>按照场地建筑布局、地形地貌、隔声设施布置及实际噪声源情况，建立</w:t>
      </w:r>
    </w:p>
    <w:p>
      <w:pPr>
        <w:widowControl/>
        <w:numPr>
          <w:ilvl w:val="-1"/>
          <w:numId w:val="0"/>
        </w:numPr>
        <w:adjustRightInd w:val="0"/>
        <w:spacing w:line="360" w:lineRule="auto"/>
        <w:ind w:left="567" w:firstLine="240" w:firstLineChars="100"/>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kern w:val="2"/>
          <w:sz w:val="24"/>
          <w:szCs w:val="28"/>
          <w:lang w:val="en-US" w:eastAsia="zh-CN" w:bidi="ar"/>
        </w:rPr>
        <w:t>模拟分析模型；</w:t>
      </w:r>
    </w:p>
    <w:p>
      <w:pPr>
        <w:widowControl/>
        <w:numPr>
          <w:ilvl w:val="0"/>
          <w:numId w:val="150"/>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kern w:val="2"/>
          <w:sz w:val="24"/>
          <w:szCs w:val="28"/>
          <w:lang w:val="en-US" w:eastAsia="zh-CN" w:bidi="ar"/>
        </w:rPr>
        <w:t>在白天和夜间典型时段，实际测量噪声源的噪声值作为模拟分析边界条</w:t>
      </w:r>
    </w:p>
    <w:p>
      <w:pPr>
        <w:widowControl/>
        <w:numPr>
          <w:ilvl w:val="-1"/>
          <w:numId w:val="0"/>
        </w:numPr>
        <w:adjustRightInd w:val="0"/>
        <w:spacing w:line="360" w:lineRule="auto"/>
        <w:ind w:left="567" w:firstLine="240" w:firstLineChars="100"/>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kern w:val="2"/>
          <w:sz w:val="24"/>
          <w:szCs w:val="28"/>
          <w:lang w:val="en-US" w:eastAsia="zh-CN" w:bidi="ar"/>
        </w:rPr>
        <w:t>件；</w:t>
      </w:r>
    </w:p>
    <w:p>
      <w:pPr>
        <w:widowControl/>
        <w:numPr>
          <w:ilvl w:val="0"/>
          <w:numId w:val="150"/>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kern w:val="2"/>
          <w:sz w:val="24"/>
          <w:szCs w:val="28"/>
          <w:lang w:val="en-US" w:eastAsia="zh-CN" w:bidi="ar"/>
        </w:rPr>
        <w:t>模拟分析场地白天和夜间典型时段噪声值分布。</w:t>
      </w:r>
    </w:p>
    <w:p>
      <w:pPr>
        <w:widowControl/>
        <w:spacing w:line="360" w:lineRule="auto"/>
        <w:jc w:val="left"/>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方法二：现场检测法</w:t>
      </w:r>
    </w:p>
    <w:p>
      <w:pPr>
        <w:widowControl/>
        <w:numPr>
          <w:ilvl w:val="0"/>
          <w:numId w:val="151"/>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kern w:val="2"/>
          <w:sz w:val="24"/>
          <w:szCs w:val="28"/>
          <w:lang w:val="en-US" w:eastAsia="zh-CN" w:bidi="ar"/>
        </w:rPr>
        <w:t>在建筑周边四个方位各布置一个噪声测量点；当建筑物对噪声敏感时，</w:t>
      </w:r>
    </w:p>
    <w:p>
      <w:pPr>
        <w:widowControl/>
        <w:numPr>
          <w:ilvl w:val="-1"/>
          <w:numId w:val="0"/>
        </w:numPr>
        <w:adjustRightInd w:val="0"/>
        <w:spacing w:line="360" w:lineRule="auto"/>
        <w:ind w:left="766" w:leftChars="365" w:firstLine="0" w:firstLineChars="0"/>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kern w:val="2"/>
          <w:sz w:val="24"/>
          <w:szCs w:val="28"/>
          <w:lang w:val="en-US" w:eastAsia="zh-CN" w:bidi="ar"/>
        </w:rPr>
        <w:t>如医院、学校、机关、科研单位、住宅等，应在离该建筑物最近的方位增加不少于2个噪声测量点；</w:t>
      </w:r>
    </w:p>
    <w:p>
      <w:pPr>
        <w:widowControl/>
        <w:numPr>
          <w:ilvl w:val="0"/>
          <w:numId w:val="151"/>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kern w:val="2"/>
          <w:sz w:val="24"/>
          <w:szCs w:val="28"/>
          <w:lang w:val="en-US" w:eastAsia="zh-CN" w:bidi="ar"/>
        </w:rPr>
        <w:t>检测时段分为白天和夜间；</w:t>
      </w:r>
    </w:p>
    <w:p>
      <w:pPr>
        <w:widowControl/>
        <w:numPr>
          <w:ilvl w:val="0"/>
          <w:numId w:val="151"/>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kern w:val="2"/>
          <w:sz w:val="24"/>
          <w:szCs w:val="28"/>
          <w:lang w:val="en-US" w:eastAsia="zh-CN" w:bidi="ar"/>
        </w:rPr>
        <w:t>检测方法应符合现行国家标准《声环境质量标准》GB3096的规定。</w:t>
      </w:r>
    </w:p>
    <w:p>
      <w:pPr>
        <w:widowControl w:val="0"/>
        <w:numPr>
          <w:ilvl w:val="0"/>
          <w:numId w:val="149"/>
        </w:numPr>
        <w:spacing w:before="0" w:after="0" w:line="360" w:lineRule="auto"/>
        <w:ind w:left="0" w:firstLine="480" w:firstLineChars="200"/>
        <w:jc w:val="both"/>
        <w:outlineLvl w:val="9"/>
        <w:rPr>
          <w:rFonts w:ascii="Times New Roman" w:hAnsi="Times New Roman" w:cs="Times New Roman"/>
          <w:szCs w:val="24"/>
        </w:rPr>
      </w:pPr>
      <w:r>
        <w:rPr>
          <w:rFonts w:ascii="Times New Roman" w:hAnsi="Times New Roman" w:eastAsia="宋体" w:cs="Times New Roman"/>
          <w:b w:val="0"/>
          <w:bCs/>
          <w:kern w:val="28"/>
          <w:sz w:val="24"/>
          <w:szCs w:val="32"/>
          <w:lang w:val="zh-CN" w:eastAsia="zh-CN" w:bidi="ar-SA"/>
        </w:rPr>
        <w:t>检验成果：环境噪声检验报告。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24"/>
          <w:lang w:val="zh-CN" w:eastAsia="zh-CN" w:bidi="ar-SA"/>
        </w:rPr>
      </w:pPr>
      <w:r>
        <w:rPr>
          <w:rFonts w:hint="default" w:ascii="Times New Roman" w:hAnsi="Times New Roman" w:eastAsia="宋体" w:cs="Times New Roman"/>
          <w:b/>
          <w:bCs/>
          <w:color w:val="auto"/>
          <w:kern w:val="28"/>
          <w:sz w:val="24"/>
          <w:szCs w:val="24"/>
          <w:lang w:val="zh-CN" w:eastAsia="zh-CN" w:bidi="ar-SA"/>
        </w:rPr>
        <w:t>8.2.2</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24"/>
          <w:lang w:val="en-US" w:eastAsia="zh-CN" w:bidi="ar"/>
        </w:rPr>
        <w:t>玻璃幕墙可见光反射比的检验应符合下列规定：</w:t>
      </w:r>
    </w:p>
    <w:p>
      <w:pPr>
        <w:widowControl w:val="0"/>
        <w:numPr>
          <w:ilvl w:val="0"/>
          <w:numId w:val="152"/>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检验内容：玻璃幕墙可见光反射比。</w:t>
      </w:r>
    </w:p>
    <w:p>
      <w:pPr>
        <w:widowControl w:val="0"/>
        <w:numPr>
          <w:ilvl w:val="0"/>
          <w:numId w:val="152"/>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检验方法：应符合现行国家标准《建筑玻璃 可见光透射比、太阳光直接透射比、太阳能总透射比、紫外线透射比及有关窗玻璃参数的测定》GB/T 2680的规定</w:t>
      </w:r>
      <w:r>
        <w:rPr>
          <w:rFonts w:hint="eastAsia" w:ascii="Times New Roman" w:hAnsi="Times New Roman" w:eastAsia="宋体" w:cs="Times New Roman"/>
          <w:b w:val="0"/>
          <w:bCs/>
          <w:kern w:val="28"/>
          <w:sz w:val="24"/>
          <w:szCs w:val="32"/>
          <w:lang w:val="zh-CN" w:eastAsia="zh-CN" w:bidi="ar-SA"/>
        </w:rPr>
        <w:t>。</w:t>
      </w:r>
    </w:p>
    <w:p>
      <w:pPr>
        <w:widowControl w:val="0"/>
        <w:numPr>
          <w:ilvl w:val="0"/>
          <w:numId w:val="152"/>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检验成果：玻璃幕墙可见光反射比检验报告。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24"/>
          <w:lang w:val="zh-CN" w:eastAsia="zh-CN" w:bidi="ar-SA"/>
        </w:rPr>
      </w:pPr>
      <w:r>
        <w:rPr>
          <w:rFonts w:hint="default" w:ascii="Times New Roman" w:hAnsi="Times New Roman" w:eastAsia="宋体" w:cs="Times New Roman"/>
          <w:b/>
          <w:bCs/>
          <w:color w:val="auto"/>
          <w:kern w:val="28"/>
          <w:sz w:val="24"/>
          <w:szCs w:val="24"/>
          <w:lang w:val="zh-CN" w:eastAsia="zh-CN" w:bidi="ar-SA"/>
        </w:rPr>
        <w:t>8.2.3</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24"/>
          <w:lang w:val="en-US" w:eastAsia="zh-CN" w:bidi="ar"/>
        </w:rPr>
        <w:t>室外照明的检验应符合下列规定：</w:t>
      </w:r>
    </w:p>
    <w:p>
      <w:pPr>
        <w:widowControl w:val="0"/>
        <w:numPr>
          <w:ilvl w:val="0"/>
          <w:numId w:val="153"/>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检验内容：居住空间窗户外表面的垂直照度值。</w:t>
      </w:r>
    </w:p>
    <w:p>
      <w:pPr>
        <w:widowControl w:val="0"/>
        <w:numPr>
          <w:ilvl w:val="0"/>
          <w:numId w:val="153"/>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numPr>
          <w:ilvl w:val="0"/>
          <w:numId w:val="154"/>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kern w:val="2"/>
          <w:sz w:val="24"/>
          <w:szCs w:val="28"/>
          <w:lang w:val="en-US" w:eastAsia="zh-CN" w:bidi="ar"/>
        </w:rPr>
        <w:t>当窗户面积小于 1m</w:t>
      </w:r>
      <w:r>
        <w:rPr>
          <w:rFonts w:ascii="Times New Roman" w:hAnsi="Times New Roman" w:eastAsia="宋体" w:cs="Times New Roman"/>
          <w:kern w:val="2"/>
          <w:sz w:val="24"/>
          <w:szCs w:val="28"/>
          <w:vertAlign w:val="superscript"/>
          <w:lang w:val="en-US" w:eastAsia="zh-CN" w:bidi="ar"/>
        </w:rPr>
        <w:t>2</w:t>
      </w:r>
      <w:r>
        <w:rPr>
          <w:rFonts w:ascii="Times New Roman" w:hAnsi="Times New Roman" w:eastAsia="宋体" w:cs="Times New Roman"/>
          <w:kern w:val="2"/>
          <w:sz w:val="24"/>
          <w:szCs w:val="28"/>
          <w:lang w:val="en-US" w:eastAsia="zh-CN" w:bidi="ar"/>
        </w:rPr>
        <w:t>时，测点应不少于 6 个；窗面积大于等于 1m</w:t>
      </w:r>
      <w:r>
        <w:rPr>
          <w:rFonts w:ascii="Times New Roman" w:hAnsi="Times New Roman" w:eastAsia="宋体" w:cs="Times New Roman"/>
          <w:kern w:val="2"/>
          <w:sz w:val="24"/>
          <w:szCs w:val="28"/>
          <w:vertAlign w:val="superscript"/>
          <w:lang w:val="en-US" w:eastAsia="zh-CN" w:bidi="ar"/>
        </w:rPr>
        <w:t>2</w:t>
      </w:r>
    </w:p>
    <w:p>
      <w:pPr>
        <w:widowControl/>
        <w:numPr>
          <w:ilvl w:val="-1"/>
          <w:numId w:val="0"/>
        </w:numPr>
        <w:adjustRightInd w:val="0"/>
        <w:spacing w:line="360" w:lineRule="auto"/>
        <w:ind w:left="567" w:firstLine="240" w:firstLineChars="100"/>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kern w:val="2"/>
          <w:sz w:val="24"/>
          <w:szCs w:val="28"/>
          <w:lang w:val="en-US" w:eastAsia="zh-CN" w:bidi="ar"/>
        </w:rPr>
        <w:t>时，测点应不少于 9 个。</w:t>
      </w:r>
    </w:p>
    <w:p>
      <w:pPr>
        <w:widowControl/>
        <w:numPr>
          <w:ilvl w:val="0"/>
          <w:numId w:val="154"/>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kern w:val="2"/>
          <w:sz w:val="24"/>
          <w:szCs w:val="28"/>
          <w:lang w:val="en-US" w:eastAsia="zh-CN" w:bidi="ar"/>
        </w:rPr>
        <w:t>将照度计探测头放置在受影响居室窗户的外表面，且探测头表面与地面</w:t>
      </w:r>
    </w:p>
    <w:p>
      <w:pPr>
        <w:widowControl/>
        <w:numPr>
          <w:ilvl w:val="-1"/>
          <w:numId w:val="0"/>
        </w:numPr>
        <w:adjustRightInd w:val="0"/>
        <w:spacing w:line="360" w:lineRule="auto"/>
        <w:ind w:left="766" w:leftChars="365" w:firstLine="0" w:firstLineChars="0"/>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kern w:val="2"/>
          <w:sz w:val="24"/>
          <w:szCs w:val="28"/>
          <w:lang w:val="en-US" w:eastAsia="zh-CN" w:bidi="ar"/>
        </w:rPr>
        <w:t>垂直，依窗户面型的不同，采取“中心布点法”，将窗户外表面划分成矩形网格，在矩形网格中心测量垂直照度。</w:t>
      </w:r>
    </w:p>
    <w:p>
      <w:pPr>
        <w:widowControl/>
        <w:numPr>
          <w:ilvl w:val="0"/>
          <w:numId w:val="154"/>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kern w:val="2"/>
          <w:sz w:val="24"/>
          <w:szCs w:val="28"/>
          <w:lang w:val="en-US" w:eastAsia="zh-CN" w:bidi="ar"/>
        </w:rPr>
        <w:t>计算照度算术平均值作为居住建筑窗户外表面的垂直照度值。</w:t>
      </w:r>
    </w:p>
    <w:p>
      <w:pPr>
        <w:widowControl w:val="0"/>
        <w:numPr>
          <w:ilvl w:val="0"/>
          <w:numId w:val="153"/>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检验成果：居住空间户外表面垂直照度检验报告。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24"/>
          <w:lang w:val="zh-CN" w:eastAsia="zh-CN" w:bidi="ar-SA"/>
        </w:rPr>
      </w:pPr>
      <w:r>
        <w:rPr>
          <w:rFonts w:hint="default" w:ascii="Times New Roman" w:hAnsi="Times New Roman" w:eastAsia="宋体" w:cs="Times New Roman"/>
          <w:b/>
          <w:bCs/>
          <w:color w:val="auto"/>
          <w:kern w:val="28"/>
          <w:sz w:val="24"/>
          <w:szCs w:val="24"/>
          <w:lang w:val="zh-CN" w:eastAsia="zh-CN" w:bidi="ar-SA"/>
        </w:rPr>
        <w:t>8.2.4</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24"/>
          <w:lang w:val="en-US" w:eastAsia="zh-CN" w:bidi="ar"/>
        </w:rPr>
        <w:t>建筑室外显示屏的检验应符合下列规定：</w:t>
      </w:r>
    </w:p>
    <w:p>
      <w:pPr>
        <w:widowControl w:val="0"/>
        <w:numPr>
          <w:ilvl w:val="0"/>
          <w:numId w:val="155"/>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检验内容：建筑室外显示屏表面平均亮度。</w:t>
      </w:r>
    </w:p>
    <w:p>
      <w:pPr>
        <w:widowControl w:val="0"/>
        <w:numPr>
          <w:ilvl w:val="0"/>
          <w:numId w:val="155"/>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numPr>
          <w:ilvl w:val="0"/>
          <w:numId w:val="156"/>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kern w:val="2"/>
          <w:sz w:val="24"/>
          <w:szCs w:val="28"/>
          <w:lang w:val="en-US" w:eastAsia="zh-CN" w:bidi="ar"/>
        </w:rPr>
        <w:t>测点数量根据显示屏面积大小确定，2m</w:t>
      </w:r>
      <w:r>
        <w:rPr>
          <w:rFonts w:ascii="Times New Roman" w:hAnsi="Times New Roman" w:eastAsia="宋体" w:cs="Times New Roman"/>
          <w:kern w:val="2"/>
          <w:sz w:val="24"/>
          <w:szCs w:val="28"/>
          <w:vertAlign w:val="superscript"/>
          <w:lang w:val="en-US" w:eastAsia="zh-CN" w:bidi="ar"/>
        </w:rPr>
        <w:t>2</w:t>
      </w:r>
      <w:r>
        <w:rPr>
          <w:rFonts w:ascii="Times New Roman" w:hAnsi="Times New Roman" w:eastAsia="宋体" w:cs="Times New Roman"/>
          <w:kern w:val="2"/>
          <w:sz w:val="24"/>
          <w:szCs w:val="28"/>
          <w:lang w:val="en-US" w:eastAsia="zh-CN" w:bidi="ar"/>
        </w:rPr>
        <w:t>及以下的面积不少于6个测点，</w:t>
      </w:r>
    </w:p>
    <w:p>
      <w:pPr>
        <w:widowControl/>
        <w:numPr>
          <w:ilvl w:val="-1"/>
          <w:numId w:val="0"/>
        </w:numPr>
        <w:adjustRightInd w:val="0"/>
        <w:spacing w:line="360" w:lineRule="auto"/>
        <w:ind w:left="567" w:firstLine="240" w:firstLineChars="100"/>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kern w:val="2"/>
          <w:sz w:val="24"/>
          <w:szCs w:val="28"/>
          <w:lang w:val="en-US" w:eastAsia="zh-CN" w:bidi="ar"/>
        </w:rPr>
        <w:t>2m</w:t>
      </w:r>
      <w:r>
        <w:rPr>
          <w:rFonts w:ascii="Times New Roman" w:hAnsi="Times New Roman" w:eastAsia="宋体" w:cs="Times New Roman"/>
          <w:kern w:val="2"/>
          <w:sz w:val="24"/>
          <w:szCs w:val="28"/>
          <w:vertAlign w:val="superscript"/>
          <w:lang w:val="en-US" w:eastAsia="zh-CN" w:bidi="ar"/>
        </w:rPr>
        <w:t>2</w:t>
      </w:r>
      <w:r>
        <w:rPr>
          <w:rFonts w:ascii="Times New Roman" w:hAnsi="Times New Roman" w:eastAsia="宋体" w:cs="Times New Roman"/>
          <w:kern w:val="2"/>
          <w:sz w:val="24"/>
          <w:szCs w:val="28"/>
          <w:lang w:val="en-US" w:eastAsia="zh-CN" w:bidi="ar"/>
        </w:rPr>
        <w:t>以上的面积不少于9个测点。</w:t>
      </w:r>
    </w:p>
    <w:p>
      <w:pPr>
        <w:widowControl/>
        <w:numPr>
          <w:ilvl w:val="0"/>
          <w:numId w:val="156"/>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kern w:val="2"/>
          <w:sz w:val="24"/>
          <w:szCs w:val="28"/>
          <w:lang w:val="en-US" w:eastAsia="zh-CN" w:bidi="ar"/>
        </w:rPr>
        <w:t>检测显示屏的尺寸，合理等分成n个区域，选取每个区域几何中心点，</w:t>
      </w:r>
    </w:p>
    <w:p>
      <w:pPr>
        <w:widowControl/>
        <w:numPr>
          <w:ilvl w:val="-1"/>
          <w:numId w:val="0"/>
        </w:numPr>
        <w:adjustRightInd w:val="0"/>
        <w:spacing w:line="360" w:lineRule="auto"/>
        <w:ind w:left="567" w:firstLine="240" w:firstLineChars="100"/>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kern w:val="2"/>
          <w:sz w:val="24"/>
          <w:szCs w:val="28"/>
          <w:lang w:val="en-US" w:eastAsia="zh-CN" w:bidi="ar"/>
        </w:rPr>
        <w:t>用亮度计分别测量其亮度，取平均值作为显示屏的平均亮度值。</w:t>
      </w:r>
    </w:p>
    <w:p>
      <w:pPr>
        <w:widowControl w:val="0"/>
        <w:numPr>
          <w:ilvl w:val="0"/>
          <w:numId w:val="155"/>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检验成果：室外显示屏表面平均亮度检验报告。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24"/>
          <w:lang w:val="zh-CN" w:eastAsia="zh-CN" w:bidi="ar-SA"/>
        </w:rPr>
      </w:pPr>
      <w:r>
        <w:rPr>
          <w:rFonts w:hint="default" w:ascii="Times New Roman" w:hAnsi="Times New Roman" w:eastAsia="宋体" w:cs="Times New Roman"/>
          <w:b/>
          <w:bCs/>
          <w:color w:val="auto"/>
          <w:kern w:val="28"/>
          <w:sz w:val="24"/>
          <w:szCs w:val="24"/>
          <w:lang w:val="zh-CN" w:eastAsia="zh-CN" w:bidi="ar-SA"/>
        </w:rPr>
        <w:t>8.2.5</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24"/>
          <w:lang w:val="en-US" w:eastAsia="zh-CN" w:bidi="ar"/>
        </w:rPr>
        <w:t>热岛强度的检验应符合下列规定：</w:t>
      </w:r>
    </w:p>
    <w:p>
      <w:pPr>
        <w:widowControl w:val="0"/>
        <w:numPr>
          <w:ilvl w:val="0"/>
          <w:numId w:val="157"/>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检验内容：热岛强度降低措施。</w:t>
      </w:r>
    </w:p>
    <w:p>
      <w:pPr>
        <w:widowControl w:val="0"/>
        <w:numPr>
          <w:ilvl w:val="0"/>
          <w:numId w:val="157"/>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检验方法：措施核查法</w:t>
      </w:r>
    </w:p>
    <w:p>
      <w:pPr>
        <w:widowControl/>
        <w:numPr>
          <w:ilvl w:val="0"/>
          <w:numId w:val="158"/>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color w:val="auto"/>
          <w:kern w:val="2"/>
          <w:sz w:val="24"/>
          <w:szCs w:val="28"/>
          <w:lang w:val="en-US" w:eastAsia="zh-CN" w:bidi="ar"/>
        </w:rPr>
        <w:t>查阅项目总平面图、建筑竣工图和绿化工程竣工图等设计文件，现场核</w:t>
      </w:r>
    </w:p>
    <w:p>
      <w:pPr>
        <w:widowControl/>
        <w:numPr>
          <w:ilvl w:val="-1"/>
          <w:numId w:val="0"/>
        </w:numPr>
        <w:adjustRightInd w:val="0"/>
        <w:spacing w:line="360" w:lineRule="auto"/>
        <w:ind w:left="567" w:firstLine="240" w:firstLineChars="100"/>
        <w:jc w:val="both"/>
        <w:outlineLvl w:val="9"/>
        <w:rPr>
          <w:rFonts w:ascii="Times New Roman" w:hAnsi="Times New Roman" w:eastAsia="宋体" w:cs="Times New Roman"/>
          <w:color w:val="auto"/>
          <w:kern w:val="2"/>
          <w:sz w:val="24"/>
          <w:szCs w:val="28"/>
          <w:lang w:val="en-US" w:eastAsia="zh-CN" w:bidi="ar"/>
        </w:rPr>
      </w:pPr>
      <w:r>
        <w:rPr>
          <w:rFonts w:ascii="Times New Roman" w:hAnsi="Times New Roman" w:eastAsia="宋体" w:cs="Times New Roman"/>
          <w:color w:val="auto"/>
          <w:kern w:val="2"/>
          <w:sz w:val="24"/>
          <w:szCs w:val="28"/>
          <w:lang w:val="en-US" w:eastAsia="zh-CN" w:bidi="ar"/>
        </w:rPr>
        <w:t>查降低热岛强度措施的符合性；</w:t>
      </w:r>
    </w:p>
    <w:p>
      <w:pPr>
        <w:widowControl/>
        <w:numPr>
          <w:ilvl w:val="0"/>
          <w:numId w:val="158"/>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color w:val="auto"/>
          <w:kern w:val="2"/>
          <w:sz w:val="24"/>
          <w:szCs w:val="28"/>
          <w:lang w:val="en-US" w:eastAsia="zh-CN" w:bidi="ar"/>
        </w:rPr>
        <w:t>现场核查场地中处于建筑阴影区外的步道、游憩场、庭院、广场等室外</w:t>
      </w:r>
    </w:p>
    <w:p>
      <w:pPr>
        <w:widowControl/>
        <w:numPr>
          <w:ilvl w:val="-1"/>
          <w:numId w:val="0"/>
        </w:numPr>
        <w:adjustRightInd w:val="0"/>
        <w:spacing w:line="360" w:lineRule="auto"/>
        <w:ind w:left="567" w:firstLine="240" w:firstLineChars="100"/>
        <w:jc w:val="both"/>
        <w:outlineLvl w:val="9"/>
        <w:rPr>
          <w:rFonts w:ascii="Times New Roman" w:hAnsi="Times New Roman" w:eastAsia="宋体" w:cs="Times New Roman"/>
          <w:color w:val="auto"/>
          <w:kern w:val="2"/>
          <w:sz w:val="24"/>
          <w:szCs w:val="28"/>
          <w:lang w:val="en-US" w:eastAsia="zh-CN" w:bidi="ar"/>
        </w:rPr>
      </w:pPr>
      <w:r>
        <w:rPr>
          <w:rFonts w:ascii="Times New Roman" w:hAnsi="Times New Roman" w:eastAsia="宋体" w:cs="Times New Roman"/>
          <w:color w:val="auto"/>
          <w:kern w:val="2"/>
          <w:sz w:val="24"/>
          <w:szCs w:val="28"/>
          <w:lang w:val="en-US" w:eastAsia="zh-CN" w:bidi="ar"/>
        </w:rPr>
        <w:t>活动场地设有乔木、花架、遮阳棚等遮荫措施的面积比例；</w:t>
      </w:r>
    </w:p>
    <w:p>
      <w:pPr>
        <w:widowControl/>
        <w:numPr>
          <w:ilvl w:val="0"/>
          <w:numId w:val="158"/>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color w:val="auto"/>
          <w:kern w:val="2"/>
          <w:sz w:val="24"/>
          <w:szCs w:val="28"/>
          <w:lang w:val="en-US" w:eastAsia="zh-CN" w:bidi="ar"/>
        </w:rPr>
        <w:t>现场核查场地中处于建筑阴影区外的机动车道、设有遮阴面积较大的行</w:t>
      </w:r>
    </w:p>
    <w:p>
      <w:pPr>
        <w:widowControl/>
        <w:numPr>
          <w:ilvl w:val="-1"/>
          <w:numId w:val="0"/>
        </w:numPr>
        <w:adjustRightInd w:val="0"/>
        <w:spacing w:line="360" w:lineRule="auto"/>
        <w:ind w:left="567" w:firstLine="240" w:firstLineChars="100"/>
        <w:jc w:val="both"/>
        <w:outlineLvl w:val="9"/>
        <w:rPr>
          <w:rFonts w:ascii="Times New Roman" w:hAnsi="Times New Roman" w:eastAsia="宋体" w:cs="Times New Roman"/>
          <w:color w:val="auto"/>
          <w:kern w:val="2"/>
          <w:sz w:val="24"/>
          <w:szCs w:val="28"/>
          <w:lang w:val="en-US" w:eastAsia="zh-CN" w:bidi="ar"/>
        </w:rPr>
      </w:pPr>
      <w:r>
        <w:rPr>
          <w:rFonts w:ascii="Times New Roman" w:hAnsi="Times New Roman" w:eastAsia="宋体" w:cs="Times New Roman"/>
          <w:color w:val="auto"/>
          <w:kern w:val="2"/>
          <w:sz w:val="24"/>
          <w:szCs w:val="28"/>
          <w:lang w:val="en-US" w:eastAsia="zh-CN" w:bidi="ar"/>
        </w:rPr>
        <w:t>道树的路段的长度；</w:t>
      </w:r>
    </w:p>
    <w:p>
      <w:pPr>
        <w:widowControl/>
        <w:numPr>
          <w:ilvl w:val="0"/>
          <w:numId w:val="158"/>
        </w:numPr>
        <w:adjustRightInd w:val="0"/>
        <w:spacing w:line="360" w:lineRule="auto"/>
        <w:ind w:left="0" w:firstLine="567"/>
        <w:jc w:val="both"/>
        <w:outlineLvl w:val="9"/>
        <w:rPr>
          <w:rFonts w:ascii="Times New Roman" w:hAnsi="Times New Roman" w:eastAsia="宋体" w:cs="Times New Roman"/>
          <w:color w:val="auto"/>
          <w:kern w:val="2"/>
          <w:sz w:val="24"/>
          <w:szCs w:val="28"/>
          <w:lang w:val="en-US" w:eastAsia="zh-CN" w:bidi="ar"/>
        </w:rPr>
      </w:pPr>
      <w:r>
        <w:rPr>
          <w:rFonts w:ascii="Times New Roman" w:hAnsi="Times New Roman" w:eastAsia="宋体" w:cs="Times New Roman"/>
          <w:color w:val="auto"/>
          <w:kern w:val="2"/>
          <w:sz w:val="24"/>
          <w:szCs w:val="28"/>
          <w:lang w:val="en-US" w:eastAsia="zh-CN" w:bidi="ar"/>
        </w:rPr>
        <w:t>现场核查地面机动车停车位设有乔木、遮阳棚等遮荫措施的面积占比；</w:t>
      </w:r>
    </w:p>
    <w:p>
      <w:pPr>
        <w:widowControl/>
        <w:numPr>
          <w:ilvl w:val="0"/>
          <w:numId w:val="158"/>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color w:val="auto"/>
          <w:kern w:val="2"/>
          <w:sz w:val="24"/>
          <w:szCs w:val="28"/>
          <w:lang w:val="en-US" w:eastAsia="zh-CN" w:bidi="ar"/>
        </w:rPr>
        <w:t>现场核查屋顶的绿化面积、太阳能板水平投影面积、太阳辐射反射系数</w:t>
      </w:r>
    </w:p>
    <w:p>
      <w:pPr>
        <w:widowControl/>
        <w:numPr>
          <w:ilvl w:val="-1"/>
          <w:numId w:val="0"/>
        </w:numPr>
        <w:adjustRightInd w:val="0"/>
        <w:spacing w:line="360" w:lineRule="auto"/>
        <w:ind w:left="766" w:leftChars="365" w:firstLine="0" w:firstLineChars="0"/>
        <w:jc w:val="both"/>
        <w:outlineLvl w:val="9"/>
        <w:rPr>
          <w:rFonts w:ascii="Times New Roman" w:hAnsi="Times New Roman" w:eastAsia="宋体" w:cs="Times New Roman"/>
          <w:color w:val="auto"/>
          <w:kern w:val="2"/>
          <w:sz w:val="24"/>
          <w:szCs w:val="28"/>
          <w:lang w:val="en-US" w:eastAsia="zh-CN" w:bidi="ar"/>
        </w:rPr>
      </w:pPr>
      <w:r>
        <w:rPr>
          <w:rFonts w:ascii="Times New Roman" w:hAnsi="Times New Roman" w:eastAsia="宋体" w:cs="Times New Roman"/>
          <w:color w:val="auto"/>
          <w:kern w:val="2"/>
          <w:sz w:val="24"/>
          <w:szCs w:val="28"/>
          <w:lang w:val="en-US" w:eastAsia="zh-CN" w:bidi="ar"/>
        </w:rPr>
        <w:t>不小于0.4的屋面面积及其所使用的反射隔热涂料型式检验报告，当无法提供检测报告或报告中缺少太阳反射系数指标时，应进行屋面太阳辐射反射系数的现场检测</w:t>
      </w:r>
      <w:r>
        <w:rPr>
          <w:rFonts w:hint="default" w:ascii="Times New Roman" w:hAnsi="Times New Roman" w:eastAsia="宋体" w:cs="Times New Roman"/>
          <w:color w:val="auto"/>
          <w:kern w:val="2"/>
          <w:sz w:val="24"/>
          <w:szCs w:val="28"/>
          <w:lang w:val="en-US" w:eastAsia="zh-CN" w:bidi="ar"/>
        </w:rPr>
        <w:t>；</w:t>
      </w:r>
    </w:p>
    <w:p>
      <w:pPr>
        <w:widowControl/>
        <w:numPr>
          <w:ilvl w:val="0"/>
          <w:numId w:val="158"/>
        </w:numPr>
        <w:adjustRightInd w:val="0"/>
        <w:spacing w:line="360" w:lineRule="auto"/>
        <w:ind w:left="0" w:firstLine="567"/>
        <w:jc w:val="both"/>
        <w:outlineLvl w:val="9"/>
        <w:rPr>
          <w:rFonts w:ascii="Times New Roman" w:hAnsi="Times New Roman" w:eastAsia="宋体" w:cs="Times New Roman"/>
          <w:kern w:val="2"/>
          <w:sz w:val="24"/>
          <w:szCs w:val="28"/>
          <w:lang w:val="en-US" w:eastAsia="zh-CN" w:bidi="ar"/>
        </w:rPr>
      </w:pPr>
      <w:r>
        <w:rPr>
          <w:rFonts w:ascii="Times New Roman" w:hAnsi="Times New Roman" w:eastAsia="宋体" w:cs="Times New Roman"/>
          <w:color w:val="auto"/>
          <w:kern w:val="2"/>
          <w:sz w:val="24"/>
          <w:szCs w:val="28"/>
          <w:lang w:val="en-US" w:eastAsia="zh-CN" w:bidi="ar"/>
        </w:rPr>
        <w:t>屋面太阳辐射反射系数的检测应符合《建筑反射隔热饰面层隔热性能现</w:t>
      </w:r>
    </w:p>
    <w:p>
      <w:pPr>
        <w:widowControl/>
        <w:numPr>
          <w:ilvl w:val="-1"/>
          <w:numId w:val="0"/>
        </w:numPr>
        <w:adjustRightInd w:val="0"/>
        <w:spacing w:line="360" w:lineRule="auto"/>
        <w:ind w:left="567" w:firstLine="240" w:firstLineChars="100"/>
        <w:jc w:val="both"/>
        <w:outlineLvl w:val="9"/>
        <w:rPr>
          <w:rFonts w:ascii="Times New Roman" w:hAnsi="Times New Roman" w:eastAsia="宋体" w:cs="Times New Roman"/>
          <w:color w:val="auto"/>
          <w:kern w:val="2"/>
          <w:sz w:val="24"/>
          <w:szCs w:val="28"/>
          <w:lang w:val="en-US" w:eastAsia="zh-CN" w:bidi="ar"/>
        </w:rPr>
      </w:pPr>
      <w:r>
        <w:rPr>
          <w:rFonts w:ascii="Times New Roman" w:hAnsi="Times New Roman" w:eastAsia="宋体" w:cs="Times New Roman"/>
          <w:color w:val="auto"/>
          <w:kern w:val="2"/>
          <w:sz w:val="24"/>
          <w:szCs w:val="28"/>
          <w:lang w:val="en-US" w:eastAsia="zh-CN" w:bidi="ar"/>
        </w:rPr>
        <w:t>场检测规程》T/CECS773-2020的规定。</w:t>
      </w:r>
    </w:p>
    <w:p>
      <w:pPr>
        <w:widowControl w:val="0"/>
        <w:numPr>
          <w:ilvl w:val="0"/>
          <w:numId w:val="157"/>
        </w:numPr>
        <w:spacing w:before="0" w:after="0" w:line="360" w:lineRule="auto"/>
        <w:ind w:left="0" w:firstLine="480" w:firstLineChars="200"/>
        <w:jc w:val="both"/>
        <w:outlineLvl w:val="9"/>
        <w:rPr>
          <w:rFonts w:ascii="Times New Roman" w:hAnsi="Times New Roman" w:cs="Times New Roman"/>
          <w:color w:val="000000"/>
          <w:kern w:val="0"/>
          <w:sz w:val="24"/>
          <w:szCs w:val="24"/>
        </w:rPr>
      </w:pPr>
      <w:r>
        <w:rPr>
          <w:rFonts w:ascii="Times New Roman" w:hAnsi="Times New Roman" w:eastAsia="宋体" w:cs="Times New Roman"/>
          <w:b w:val="0"/>
          <w:bCs/>
          <w:kern w:val="28"/>
          <w:sz w:val="24"/>
          <w:szCs w:val="32"/>
          <w:lang w:val="zh-CN" w:eastAsia="zh-CN" w:bidi="ar-SA"/>
        </w:rPr>
        <w:t>检验成果：降低场地热岛强度措施检验报告。</w:t>
      </w:r>
    </w:p>
    <w:p>
      <w:pPr>
        <w:widowControl w:val="0"/>
        <w:numPr>
          <w:ilvl w:val="1"/>
          <w:numId w:val="0"/>
        </w:numPr>
        <w:spacing w:before="312" w:beforeLines="100" w:after="0" w:line="360" w:lineRule="auto"/>
        <w:ind w:left="567" w:leftChars="0" w:hanging="567" w:firstLineChars="0"/>
        <w:jc w:val="center"/>
        <w:outlineLvl w:val="1"/>
        <w:rPr>
          <w:rFonts w:ascii="Times New Roman" w:hAnsi="Times New Roman" w:eastAsia="黑体" w:cs="Times New Roman"/>
          <w:b/>
          <w:bCs/>
          <w:kern w:val="28"/>
          <w:sz w:val="24"/>
          <w:szCs w:val="32"/>
          <w:lang w:val="zh-CN" w:eastAsia="zh-CN" w:bidi="ar-SA"/>
        </w:rPr>
      </w:pPr>
      <w:bookmarkStart w:id="64" w:name="_Toc204157434"/>
      <w:r>
        <w:rPr>
          <w:rFonts w:hint="default" w:ascii="Times New Roman" w:hAnsi="Times New Roman" w:eastAsia="黑体" w:cs="Times New Roman"/>
          <w:b/>
          <w:bCs/>
          <w:kern w:val="28"/>
          <w:sz w:val="24"/>
          <w:szCs w:val="32"/>
          <w:lang w:val="zh-CN" w:eastAsia="zh-CN" w:bidi="ar-SA"/>
        </w:rPr>
        <w:t>8.3</w:t>
      </w:r>
      <w:r>
        <w:rPr>
          <w:rFonts w:ascii="Times New Roman" w:hAnsi="Times New Roman" w:eastAsia="黑体" w:cs="Times New Roman"/>
          <w:b/>
          <w:bCs/>
          <w:kern w:val="28"/>
          <w:sz w:val="24"/>
          <w:szCs w:val="32"/>
          <w:lang w:val="zh-CN" w:eastAsia="zh-CN" w:bidi="ar-SA"/>
        </w:rPr>
        <w:t>污染物</w:t>
      </w:r>
      <w:bookmarkEnd w:id="64"/>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8.3.1</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饮食业油烟排放的检验应符合下列规定：</w:t>
      </w:r>
    </w:p>
    <w:p>
      <w:pPr>
        <w:widowControl w:val="0"/>
        <w:numPr>
          <w:ilvl w:val="0"/>
          <w:numId w:val="159"/>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检验内容：厨房油烟排放细颗粒浓度。</w:t>
      </w:r>
    </w:p>
    <w:p>
      <w:pPr>
        <w:widowControl w:val="0"/>
        <w:numPr>
          <w:ilvl w:val="0"/>
          <w:numId w:val="159"/>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检验方法：应符合深圳市《饮食业油烟排放控制规范》SZDB/Z 254-2017的规定。</w:t>
      </w:r>
    </w:p>
    <w:p>
      <w:pPr>
        <w:widowControl w:val="0"/>
        <w:numPr>
          <w:ilvl w:val="0"/>
          <w:numId w:val="159"/>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检验成果：厨房油烟细颗粒浓度检测报告。</w:t>
      </w:r>
    </w:p>
    <w:p>
      <w:pPr>
        <w:widowControl w:val="0"/>
        <w:numPr>
          <w:ilvl w:val="2"/>
          <w:numId w:val="0"/>
        </w:numPr>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hint="default" w:ascii="Times New Roman" w:hAnsi="Times New Roman" w:eastAsia="宋体" w:cs="Times New Roman"/>
          <w:b/>
          <w:bCs/>
          <w:color w:val="auto"/>
          <w:kern w:val="28"/>
          <w:sz w:val="24"/>
          <w:szCs w:val="24"/>
          <w:lang w:val="zh-CN" w:eastAsia="zh-CN" w:bidi="ar-SA"/>
        </w:rPr>
        <w:t>8.3.2</w:t>
      </w:r>
      <w:r>
        <w:rPr>
          <w:rFonts w:hint="eastAsia" w:cs="Times New Roman"/>
          <w:b/>
          <w:bCs/>
          <w:color w:val="auto"/>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合成材料运动场地面层的有害物质含量的检验符合下列规定：</w:t>
      </w:r>
    </w:p>
    <w:p>
      <w:pPr>
        <w:widowControl w:val="0"/>
        <w:numPr>
          <w:ilvl w:val="0"/>
          <w:numId w:val="160"/>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检验内容：合成材料运动场地面层的有害物质含量。</w:t>
      </w:r>
    </w:p>
    <w:p>
      <w:pPr>
        <w:widowControl/>
        <w:numPr>
          <w:ilvl w:val="0"/>
          <w:numId w:val="160"/>
        </w:numPr>
        <w:spacing w:line="360" w:lineRule="auto"/>
        <w:ind w:left="0" w:firstLine="480" w:firstLineChars="200"/>
        <w:jc w:val="both"/>
        <w:rPr>
          <w:rFonts w:ascii="Times New Roman" w:hAnsi="Times New Roman" w:cs="Times New Roman"/>
          <w:sz w:val="24"/>
          <w:szCs w:val="24"/>
        </w:rPr>
      </w:pPr>
      <w:r>
        <w:rPr>
          <w:rFonts w:ascii="Times New Roman" w:hAnsi="Times New Roman" w:cs="Times New Roman"/>
          <w:sz w:val="24"/>
          <w:szCs w:val="24"/>
        </w:rPr>
        <w:t>检验方法：</w:t>
      </w:r>
      <w:r>
        <w:rPr>
          <w:rFonts w:ascii="Times New Roman" w:hAnsi="Times New Roman" w:cs="Times New Roman"/>
          <w:sz w:val="24"/>
          <w:szCs w:val="24"/>
          <w:lang w:bidi="ar"/>
        </w:rPr>
        <w:t>应送实验室检测，抽样及检验项目应符合《合成材料运动场地面层质量控制标准》SJG 29-2023 第10章规定。</w:t>
      </w:r>
    </w:p>
    <w:p>
      <w:pPr>
        <w:widowControl w:val="0"/>
        <w:numPr>
          <w:ilvl w:val="0"/>
          <w:numId w:val="160"/>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检验成果：合成材料运动场地面层的有害物质含量检验报告。</w:t>
      </w:r>
    </w:p>
    <w:p>
      <w:pPr>
        <w:spacing w:line="360" w:lineRule="auto"/>
        <w:outlineLvl w:val="9"/>
        <w:rPr>
          <w:bCs/>
        </w:rPr>
        <w:sectPr>
          <w:pgSz w:w="11906" w:h="16838"/>
          <w:pgMar w:top="1440" w:right="1800" w:bottom="1440" w:left="1800" w:header="851" w:footer="992" w:gutter="0"/>
          <w:pgNumType w:fmt="decimal"/>
          <w:cols w:space="720" w:num="1"/>
          <w:docGrid w:type="lines" w:linePitch="312" w:charSpace="0"/>
        </w:sectPr>
      </w:pPr>
    </w:p>
    <w:p>
      <w:pPr>
        <w:keepNext/>
        <w:keepLines/>
        <w:widowControl w:val="0"/>
        <w:numPr>
          <w:ilvl w:val="0"/>
          <w:numId w:val="0"/>
        </w:numPr>
        <w:spacing w:before="340" w:after="330" w:line="578" w:lineRule="auto"/>
        <w:ind w:left="425" w:leftChars="0" w:hanging="425" w:firstLineChars="0"/>
        <w:jc w:val="center"/>
        <w:outlineLvl w:val="0"/>
        <w:rPr>
          <w:rFonts w:ascii="Times New Roman" w:hAnsi="Times New Roman" w:eastAsia="宋体" w:cs="Times New Roman"/>
          <w:b/>
          <w:bCs/>
          <w:kern w:val="44"/>
          <w:sz w:val="28"/>
          <w:szCs w:val="28"/>
          <w:lang w:val="en-US" w:eastAsia="zh-CN" w:bidi="ar-SA"/>
        </w:rPr>
      </w:pPr>
      <w:bookmarkStart w:id="65" w:name="_Toc204157435"/>
      <w:r>
        <w:rPr>
          <w:rFonts w:hint="eastAsia" w:ascii="Times New Roman" w:hAnsi="Times New Roman" w:eastAsia="宋体" w:cs="Times New Roman"/>
          <w:b/>
          <w:bCs/>
          <w:kern w:val="44"/>
          <w:sz w:val="28"/>
          <w:szCs w:val="28"/>
          <w:lang w:val="en-US" w:eastAsia="zh-CN" w:bidi="ar-SA"/>
        </w:rPr>
        <w:t>9</w:t>
      </w:r>
      <w:r>
        <w:rPr>
          <w:rFonts w:ascii="Times New Roman" w:hAnsi="Times New Roman" w:eastAsia="宋体" w:cs="Times New Roman"/>
          <w:b/>
          <w:bCs/>
          <w:kern w:val="44"/>
          <w:sz w:val="28"/>
          <w:szCs w:val="28"/>
          <w:lang w:val="en-US" w:eastAsia="zh-CN" w:bidi="ar-SA"/>
        </w:rPr>
        <w:t>提高与创新</w:t>
      </w:r>
      <w:bookmarkEnd w:id="65"/>
    </w:p>
    <w:p>
      <w:pPr>
        <w:widowControl w:val="0"/>
        <w:numPr>
          <w:ilvl w:val="0"/>
          <w:numId w:val="0"/>
        </w:numPr>
        <w:spacing w:before="0" w:after="0" w:line="360" w:lineRule="auto"/>
        <w:ind w:left="420" w:leftChars="0" w:hanging="420" w:firstLineChars="0"/>
        <w:jc w:val="both"/>
        <w:outlineLvl w:val="9"/>
        <w:rPr>
          <w:rFonts w:ascii="Times New Roman" w:hAnsi="Times New Roman" w:eastAsia="宋体" w:cs="Times New Roman"/>
          <w:b w:val="0"/>
          <w:bCs/>
          <w:kern w:val="28"/>
          <w:sz w:val="24"/>
          <w:szCs w:val="32"/>
          <w:lang w:val="zh-CN" w:eastAsia="zh-CN" w:bidi="ar-SA"/>
        </w:rPr>
      </w:pPr>
      <w:r>
        <w:rPr>
          <w:rFonts w:hint="eastAsia" w:ascii="Times New Roman" w:hAnsi="Times New Roman" w:eastAsia="宋体" w:cs="Times New Roman"/>
          <w:b/>
          <w:bCs/>
          <w:kern w:val="28"/>
          <w:sz w:val="24"/>
          <w:szCs w:val="24"/>
          <w:lang w:val="zh-CN" w:eastAsia="zh-CN" w:bidi="ar-SA"/>
        </w:rPr>
        <w:t>9.0.1</w:t>
      </w:r>
      <w:r>
        <w:rPr>
          <w:rFonts w:hint="eastAsia" w:cs="Times New Roman"/>
          <w:b/>
          <w:bCs/>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【BIM模型】应用建筑信息模型（BIM）</w:t>
      </w:r>
      <w:r>
        <w:rPr>
          <w:rFonts w:ascii="Times New Roman" w:hAnsi="Times New Roman" w:eastAsia="宋体" w:cs="Times New Roman"/>
          <w:b w:val="0"/>
          <w:bCs/>
          <w:kern w:val="28"/>
          <w:sz w:val="24"/>
          <w:szCs w:val="32"/>
          <w:lang w:val="zh-CN" w:eastAsia="zh" w:bidi="ar-SA"/>
        </w:rPr>
        <w:t>技术</w:t>
      </w:r>
      <w:r>
        <w:rPr>
          <w:rFonts w:ascii="Times New Roman" w:hAnsi="Times New Roman" w:eastAsia="宋体" w:cs="Times New Roman"/>
          <w:b w:val="0"/>
          <w:bCs/>
          <w:kern w:val="28"/>
          <w:sz w:val="24"/>
          <w:szCs w:val="32"/>
          <w:lang w:val="zh-CN" w:eastAsia="zh-CN" w:bidi="ar-SA"/>
        </w:rPr>
        <w:t>的检验应符合下列规定：</w:t>
      </w:r>
    </w:p>
    <w:p>
      <w:pPr>
        <w:widowControl w:val="0"/>
        <w:numPr>
          <w:ilvl w:val="0"/>
          <w:numId w:val="161"/>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检验内容：运行阶段BIM技术的应用。</w:t>
      </w:r>
    </w:p>
    <w:p>
      <w:pPr>
        <w:widowControl w:val="0"/>
        <w:numPr>
          <w:ilvl w:val="0"/>
          <w:numId w:val="161"/>
        </w:numPr>
        <w:spacing w:before="0" w:after="0" w:line="360" w:lineRule="auto"/>
        <w:ind w:left="0" w:firstLine="480" w:firstLineChars="20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numPr>
          <w:ilvl w:val="0"/>
          <w:numId w:val="162"/>
        </w:numPr>
        <w:adjustRightInd w:val="0"/>
        <w:spacing w:line="360" w:lineRule="auto"/>
        <w:ind w:firstLine="567" w:firstLineChars="0"/>
        <w:jc w:val="both"/>
        <w:outlineLvl w:val="9"/>
        <w:rPr>
          <w:rFonts w:ascii="Times New Roman" w:hAnsi="Times New Roman" w:eastAsia="宋体" w:cs="Times New Roman"/>
          <w:bCs w:val="0"/>
          <w:kern w:val="2"/>
          <w:sz w:val="24"/>
          <w:szCs w:val="28"/>
          <w:lang w:val="en-US" w:eastAsia="zh-CN" w:bidi="ar"/>
        </w:rPr>
      </w:pPr>
      <w:r>
        <w:rPr>
          <w:rFonts w:ascii="Times New Roman" w:hAnsi="Times New Roman" w:eastAsia="宋体" w:cs="Times New Roman"/>
          <w:bCs w:val="0"/>
          <w:kern w:val="2"/>
          <w:sz w:val="24"/>
          <w:szCs w:val="28"/>
          <w:lang w:val="en-US" w:eastAsia="zh-CN" w:bidi="ar"/>
        </w:rPr>
        <w:t>查阅竣工图和BIM技术应用报告；</w:t>
      </w:r>
    </w:p>
    <w:p>
      <w:pPr>
        <w:widowControl/>
        <w:numPr>
          <w:ilvl w:val="0"/>
          <w:numId w:val="162"/>
        </w:numPr>
        <w:adjustRightInd w:val="0"/>
        <w:spacing w:line="360" w:lineRule="auto"/>
        <w:ind w:firstLine="567" w:firstLineChars="0"/>
        <w:jc w:val="both"/>
        <w:outlineLvl w:val="9"/>
        <w:rPr>
          <w:rFonts w:ascii="Times New Roman" w:hAnsi="Times New Roman" w:eastAsia="宋体" w:cs="Times New Roman"/>
          <w:bCs w:val="0"/>
          <w:kern w:val="2"/>
          <w:sz w:val="24"/>
          <w:szCs w:val="28"/>
          <w:lang w:val="en-US" w:eastAsia="zh-CN" w:bidi="ar"/>
        </w:rPr>
      </w:pPr>
      <w:r>
        <w:rPr>
          <w:rFonts w:ascii="Times New Roman" w:hAnsi="Times New Roman" w:eastAsia="宋体" w:cs="Times New Roman"/>
          <w:bCs w:val="0"/>
          <w:kern w:val="2"/>
          <w:sz w:val="24"/>
          <w:szCs w:val="28"/>
          <w:lang w:val="en-US" w:eastAsia="zh-CN" w:bidi="ar"/>
        </w:rPr>
        <w:t>现场核查BIM运行维护模型，利用BIM模型的运行管理、设备设施</w:t>
      </w:r>
    </w:p>
    <w:p>
      <w:pPr>
        <w:widowControl/>
        <w:numPr>
          <w:ilvl w:val="-1"/>
          <w:numId w:val="0"/>
        </w:numPr>
        <w:adjustRightInd w:val="0"/>
        <w:spacing w:line="360" w:lineRule="auto"/>
        <w:ind w:left="992" w:firstLine="240" w:firstLineChars="100"/>
        <w:jc w:val="both"/>
        <w:outlineLvl w:val="9"/>
        <w:rPr>
          <w:rFonts w:ascii="Times New Roman" w:hAnsi="Times New Roman" w:eastAsia="宋体" w:cs="Times New Roman"/>
          <w:bCs w:val="0"/>
          <w:kern w:val="2"/>
          <w:sz w:val="24"/>
          <w:szCs w:val="28"/>
          <w:lang w:val="en-US" w:eastAsia="zh-CN" w:bidi="ar"/>
        </w:rPr>
      </w:pPr>
      <w:r>
        <w:rPr>
          <w:rFonts w:ascii="Times New Roman" w:hAnsi="Times New Roman" w:eastAsia="宋体" w:cs="Times New Roman"/>
          <w:bCs w:val="0"/>
          <w:kern w:val="2"/>
          <w:sz w:val="24"/>
          <w:szCs w:val="28"/>
          <w:lang w:val="en-US" w:eastAsia="zh-CN" w:bidi="ar"/>
        </w:rPr>
        <w:t>运行监控和应急管理等内容；</w:t>
      </w:r>
    </w:p>
    <w:p>
      <w:pPr>
        <w:widowControl/>
        <w:numPr>
          <w:ilvl w:val="0"/>
          <w:numId w:val="162"/>
        </w:numPr>
        <w:adjustRightInd w:val="0"/>
        <w:spacing w:line="360" w:lineRule="auto"/>
        <w:ind w:firstLine="567" w:firstLineChars="0"/>
        <w:jc w:val="both"/>
        <w:outlineLvl w:val="9"/>
        <w:rPr>
          <w:rFonts w:ascii="Times New Roman" w:hAnsi="Times New Roman" w:eastAsia="宋体" w:cs="Times New Roman"/>
          <w:bCs w:val="0"/>
          <w:kern w:val="2"/>
          <w:sz w:val="24"/>
          <w:szCs w:val="28"/>
          <w:lang w:val="en-US" w:eastAsia="zh-CN" w:bidi="ar"/>
        </w:rPr>
      </w:pPr>
      <w:r>
        <w:rPr>
          <w:rFonts w:ascii="Times New Roman" w:hAnsi="Times New Roman" w:eastAsia="宋体" w:cs="Times New Roman"/>
          <w:bCs w:val="0"/>
          <w:kern w:val="2"/>
          <w:sz w:val="24"/>
          <w:szCs w:val="28"/>
          <w:lang w:val="en-US" w:eastAsia="zh-CN" w:bidi="ar"/>
        </w:rPr>
        <w:t>运行阶段BIM模型数据应符合现行地方标准《</w:t>
      </w:r>
      <w:r>
        <w:rPr>
          <w:rFonts w:ascii="Times New Roman" w:hAnsi="Times New Roman" w:eastAsia="宋体" w:cs="Times New Roman"/>
          <w:bCs w:val="0"/>
          <w:kern w:val="2"/>
          <w:sz w:val="24"/>
          <w:szCs w:val="28"/>
          <w:lang w:val="en-US" w:eastAsia="zh-CN" w:bidi="ar"/>
        </w:rPr>
        <w:fldChar w:fldCharType="begin"/>
      </w:r>
      <w:r>
        <w:rPr>
          <w:rFonts w:ascii="Times New Roman" w:hAnsi="Times New Roman" w:eastAsia="宋体" w:cs="Times New Roman"/>
          <w:bCs w:val="0"/>
          <w:kern w:val="2"/>
          <w:sz w:val="24"/>
          <w:szCs w:val="28"/>
          <w:lang w:val="en-US" w:eastAsia="zh-CN" w:bidi="ar"/>
        </w:rPr>
        <w:instrText xml:space="preserve"> HYPERLINK "http://www.baidu.com/link?url=FfhUzhndHfYRNExn6bULRnOHoPiC-0HESSDuAN2BJ-TiyJ0yU3HAOQtciANecNXhCRaZTyHc99vox_0tFUkfsK" \t "_blank" </w:instrText>
      </w:r>
      <w:r>
        <w:rPr>
          <w:rFonts w:ascii="Times New Roman" w:hAnsi="Times New Roman" w:eastAsia="宋体" w:cs="Times New Roman"/>
          <w:bCs w:val="0"/>
          <w:kern w:val="2"/>
          <w:sz w:val="24"/>
          <w:szCs w:val="28"/>
          <w:lang w:val="en-US" w:eastAsia="zh-CN" w:bidi="ar"/>
        </w:rPr>
        <w:fldChar w:fldCharType="separate"/>
      </w:r>
      <w:r>
        <w:rPr>
          <w:rFonts w:ascii="Times New Roman" w:hAnsi="Times New Roman" w:eastAsia="宋体" w:cs="Times New Roman"/>
          <w:bCs w:val="0"/>
          <w:kern w:val="2"/>
          <w:sz w:val="24"/>
          <w:szCs w:val="28"/>
          <w:lang w:val="en-US" w:eastAsia="zh-CN" w:bidi="ar"/>
        </w:rPr>
        <w:t>建筑信息模型数据存</w:t>
      </w:r>
    </w:p>
    <w:p>
      <w:pPr>
        <w:widowControl/>
        <w:numPr>
          <w:ilvl w:val="-1"/>
          <w:numId w:val="0"/>
        </w:numPr>
        <w:adjustRightInd w:val="0"/>
        <w:spacing w:line="360" w:lineRule="auto"/>
        <w:ind w:left="992" w:firstLine="240" w:firstLineChars="100"/>
        <w:jc w:val="both"/>
        <w:outlineLvl w:val="9"/>
        <w:rPr>
          <w:rFonts w:ascii="Times New Roman" w:hAnsi="Times New Roman" w:eastAsia="宋体" w:cs="Times New Roman"/>
          <w:bCs w:val="0"/>
          <w:kern w:val="2"/>
          <w:sz w:val="24"/>
          <w:szCs w:val="28"/>
          <w:lang w:val="en-US" w:eastAsia="zh-CN" w:bidi="ar"/>
        </w:rPr>
      </w:pPr>
      <w:r>
        <w:rPr>
          <w:rFonts w:ascii="Times New Roman" w:hAnsi="Times New Roman" w:eastAsia="宋体" w:cs="Times New Roman"/>
          <w:bCs w:val="0"/>
          <w:kern w:val="2"/>
          <w:sz w:val="24"/>
          <w:szCs w:val="28"/>
          <w:lang w:val="en-US" w:eastAsia="zh-CN" w:bidi="ar"/>
        </w:rPr>
        <w:t>储标准》SJG114的规定。</w:t>
      </w:r>
    </w:p>
    <w:p>
      <w:pPr>
        <w:widowControl/>
        <w:numPr>
          <w:ilvl w:val="-1"/>
          <w:numId w:val="0"/>
        </w:numPr>
        <w:tabs>
          <w:tab w:val="left" w:pos="1206"/>
        </w:tabs>
        <w:adjustRightInd w:val="0"/>
        <w:spacing w:line="360" w:lineRule="auto"/>
        <w:ind w:left="0" w:firstLine="0" w:firstLineChars="0"/>
        <w:jc w:val="both"/>
        <w:outlineLvl w:val="9"/>
        <w:rPr>
          <w:rFonts w:ascii="Times New Roman" w:hAnsi="Times New Roman" w:eastAsia="宋体" w:cs="Times New Roman"/>
          <w:b/>
          <w:kern w:val="2"/>
          <w:sz w:val="24"/>
          <w:szCs w:val="24"/>
          <w:lang w:val="en-US" w:eastAsia="zh-CN" w:bidi="ar-SA"/>
        </w:rPr>
      </w:pPr>
      <w:r>
        <w:rPr>
          <w:rFonts w:ascii="Times New Roman" w:hAnsi="Times New Roman" w:eastAsia="宋体" w:cs="Times New Roman"/>
          <w:bCs w:val="0"/>
          <w:kern w:val="2"/>
          <w:sz w:val="24"/>
          <w:szCs w:val="28"/>
          <w:lang w:val="en-US" w:eastAsia="zh-CN" w:bidi="ar"/>
        </w:rPr>
        <w:fldChar w:fldCharType="end"/>
      </w:r>
      <w:r>
        <w:rPr>
          <w:rFonts w:hint="eastAsia" w:cs="Times New Roman"/>
          <w:bCs w:val="0"/>
          <w:kern w:val="2"/>
          <w:sz w:val="24"/>
          <w:szCs w:val="28"/>
          <w:lang w:val="en-US" w:eastAsia="zh-CN" w:bidi="ar"/>
        </w:rPr>
        <w:t xml:space="preserve">  </w:t>
      </w:r>
      <w:r>
        <w:rPr>
          <w:rFonts w:hint="eastAsia" w:cs="Times New Roman"/>
          <w:b/>
          <w:bCs/>
          <w:kern w:val="2"/>
          <w:sz w:val="24"/>
          <w:szCs w:val="28"/>
          <w:lang w:val="en-US" w:eastAsia="zh-CN" w:bidi="ar"/>
        </w:rPr>
        <w:t xml:space="preserve">  </w:t>
      </w:r>
      <w:r>
        <w:rPr>
          <w:rFonts w:hint="default" w:cs="Times New Roman"/>
          <w:b/>
          <w:bCs/>
          <w:kern w:val="28"/>
          <w:sz w:val="24"/>
          <w:szCs w:val="32"/>
          <w:lang w:val="zh-CN" w:eastAsia="zh-CN" w:bidi="ar-SA"/>
        </w:rPr>
        <w:t>3</w:t>
      </w:r>
      <w:r>
        <w:rPr>
          <w:rFonts w:hint="default" w:cs="Times New Roman"/>
          <w:bCs/>
          <w:kern w:val="28"/>
          <w:sz w:val="24"/>
          <w:szCs w:val="32"/>
          <w:lang w:val="zh-CN" w:eastAsia="zh-CN" w:bidi="ar-SA"/>
        </w:rPr>
        <w:t xml:space="preserve">  </w:t>
      </w:r>
      <w:r>
        <w:rPr>
          <w:rFonts w:ascii="Times New Roman" w:hAnsi="Times New Roman" w:eastAsia="宋体" w:cs="Times New Roman"/>
          <w:bCs/>
          <w:kern w:val="28"/>
          <w:sz w:val="24"/>
          <w:szCs w:val="32"/>
          <w:lang w:val="zh-CN" w:eastAsia="zh-CN" w:bidi="ar-SA"/>
        </w:rPr>
        <w:t>检验成果：</w:t>
      </w:r>
      <w:r>
        <w:rPr>
          <w:rFonts w:ascii="Times New Roman" w:hAnsi="Times New Roman" w:eastAsia="宋体" w:cs="Times New Roman"/>
          <w:kern w:val="2"/>
          <w:sz w:val="24"/>
          <w:szCs w:val="24"/>
          <w:lang w:val="zh-CN" w:eastAsia="zh-CN" w:bidi="ar-SA"/>
        </w:rPr>
        <w:t>运行阶段BIM技术的应用检验报告。</w:t>
      </w:r>
    </w:p>
    <w:p>
      <w:pPr>
        <w:widowControl w:val="0"/>
        <w:numPr>
          <w:ilvl w:val="0"/>
          <w:numId w:val="0"/>
        </w:numPr>
        <w:spacing w:before="0" w:after="0" w:line="360" w:lineRule="auto"/>
        <w:ind w:left="420" w:leftChars="0" w:hanging="420" w:firstLineChars="0"/>
        <w:jc w:val="both"/>
        <w:outlineLvl w:val="9"/>
        <w:rPr>
          <w:rFonts w:ascii="Times New Roman" w:hAnsi="Times New Roman" w:eastAsia="宋体" w:cs="Times New Roman"/>
          <w:b w:val="0"/>
          <w:bCs/>
          <w:kern w:val="28"/>
          <w:sz w:val="24"/>
          <w:szCs w:val="32"/>
          <w:lang w:val="zh-CN" w:eastAsia="zh-CN" w:bidi="ar-SA"/>
        </w:rPr>
      </w:pPr>
      <w:r>
        <w:rPr>
          <w:rFonts w:hint="eastAsia" w:ascii="Times New Roman" w:hAnsi="Times New Roman" w:eastAsia="宋体" w:cs="Times New Roman"/>
          <w:b/>
          <w:bCs/>
          <w:kern w:val="28"/>
          <w:sz w:val="24"/>
          <w:szCs w:val="24"/>
          <w:lang w:val="zh-CN" w:eastAsia="zh-CN" w:bidi="ar-SA"/>
        </w:rPr>
        <w:t>9.0.2</w:t>
      </w:r>
      <w:r>
        <w:rPr>
          <w:rFonts w:hint="eastAsia" w:cs="Times New Roman"/>
          <w:b/>
          <w:bCs/>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【建筑碳排放】建筑</w:t>
      </w:r>
      <w:r>
        <w:rPr>
          <w:rFonts w:ascii="Times New Roman" w:hAnsi="Times New Roman" w:eastAsia="宋体" w:cs="Times New Roman"/>
          <w:b w:val="0"/>
          <w:bCs/>
          <w:kern w:val="28"/>
          <w:sz w:val="24"/>
          <w:szCs w:val="32"/>
          <w:lang w:val="zh-CN" w:eastAsia="zh" w:bidi="ar-SA"/>
        </w:rPr>
        <w:t>运行阶段</w:t>
      </w:r>
      <w:r>
        <w:rPr>
          <w:rFonts w:ascii="Times New Roman" w:hAnsi="Times New Roman" w:eastAsia="宋体" w:cs="Times New Roman"/>
          <w:b w:val="0"/>
          <w:bCs/>
          <w:kern w:val="28"/>
          <w:sz w:val="24"/>
          <w:szCs w:val="32"/>
          <w:lang w:val="zh-CN" w:eastAsia="zh-CN" w:bidi="ar-SA"/>
        </w:rPr>
        <w:t>碳排放</w:t>
      </w:r>
      <w:r>
        <w:rPr>
          <w:rFonts w:ascii="Times New Roman" w:hAnsi="Times New Roman" w:eastAsia="宋体" w:cs="Times New Roman"/>
          <w:b w:val="0"/>
          <w:bCs/>
          <w:kern w:val="28"/>
          <w:sz w:val="24"/>
          <w:szCs w:val="32"/>
          <w:lang w:val="zh-CN" w:eastAsia="zh" w:bidi="ar-SA"/>
        </w:rPr>
        <w:t>的检验</w:t>
      </w:r>
      <w:r>
        <w:rPr>
          <w:rFonts w:ascii="Times New Roman" w:hAnsi="Times New Roman" w:eastAsia="宋体" w:cs="Times New Roman"/>
          <w:b w:val="0"/>
          <w:bCs/>
          <w:kern w:val="28"/>
          <w:sz w:val="24"/>
          <w:szCs w:val="32"/>
          <w:lang w:val="zh-CN" w:eastAsia="zh-CN" w:bidi="ar-SA"/>
        </w:rPr>
        <w:t>应符合下列规定：</w:t>
      </w:r>
    </w:p>
    <w:p>
      <w:pPr>
        <w:numPr>
          <w:ilvl w:val="0"/>
          <w:numId w:val="163"/>
        </w:numPr>
        <w:spacing w:line="360" w:lineRule="auto"/>
        <w:ind w:left="0" w:firstLine="480" w:firstLineChars="200"/>
        <w:jc w:val="both"/>
        <w:rPr>
          <w:rFonts w:ascii="Times New Roman" w:hAnsi="Times New Roman" w:cs="Times New Roman"/>
          <w:sz w:val="24"/>
          <w:szCs w:val="24"/>
        </w:rPr>
      </w:pPr>
      <w:r>
        <w:rPr>
          <w:rFonts w:ascii="Times New Roman" w:hAnsi="Times New Roman" w:cs="Times New Roman"/>
          <w:sz w:val="24"/>
          <w:szCs w:val="24"/>
        </w:rPr>
        <w:t>检验内容：</w:t>
      </w:r>
      <w:r>
        <w:rPr>
          <w:rFonts w:ascii="Times New Roman" w:hAnsi="Times New Roman" w:cs="Times New Roman"/>
          <w:sz w:val="24"/>
          <w:szCs w:val="24"/>
          <w:lang w:eastAsia="zh"/>
        </w:rPr>
        <w:t>建筑运行阶段</w:t>
      </w:r>
      <w:r>
        <w:rPr>
          <w:rFonts w:ascii="Times New Roman" w:hAnsi="Times New Roman" w:cs="Times New Roman"/>
          <w:sz w:val="24"/>
          <w:szCs w:val="24"/>
        </w:rPr>
        <w:t>碳排放。</w:t>
      </w:r>
    </w:p>
    <w:p>
      <w:pPr>
        <w:numPr>
          <w:ilvl w:val="0"/>
          <w:numId w:val="163"/>
        </w:numPr>
        <w:spacing w:line="360" w:lineRule="auto"/>
        <w:ind w:left="0" w:firstLine="480" w:firstLineChars="200"/>
        <w:jc w:val="both"/>
        <w:rPr>
          <w:rFonts w:ascii="Times New Roman" w:hAnsi="Times New Roman" w:cs="Times New Roman"/>
          <w:sz w:val="24"/>
          <w:szCs w:val="24"/>
        </w:rPr>
      </w:pPr>
      <w:r>
        <w:rPr>
          <w:rFonts w:ascii="Times New Roman" w:hAnsi="Times New Roman" w:cs="Times New Roman"/>
          <w:sz w:val="24"/>
          <w:szCs w:val="24"/>
        </w:rPr>
        <w:t>检验方法：</w:t>
      </w:r>
    </w:p>
    <w:p>
      <w:pPr>
        <w:widowControl/>
        <w:numPr>
          <w:ilvl w:val="0"/>
          <w:numId w:val="164"/>
        </w:numPr>
        <w:adjustRightInd w:val="0"/>
        <w:spacing w:line="360" w:lineRule="auto"/>
        <w:ind w:firstLine="567" w:firstLineChars="0"/>
        <w:jc w:val="both"/>
        <w:outlineLvl w:val="9"/>
        <w:rPr>
          <w:rFonts w:ascii="Times New Roman" w:hAnsi="Times New Roman" w:eastAsia="宋体" w:cs="Times New Roman"/>
          <w:bCs w:val="0"/>
          <w:kern w:val="2"/>
          <w:sz w:val="24"/>
          <w:szCs w:val="28"/>
          <w:lang w:val="en-US" w:eastAsia="zh-CN" w:bidi="ar"/>
        </w:rPr>
      </w:pPr>
      <w:r>
        <w:rPr>
          <w:rFonts w:ascii="Times New Roman" w:hAnsi="Times New Roman" w:eastAsia="宋体" w:cs="Times New Roman"/>
          <w:bCs w:val="0"/>
          <w:kern w:val="2"/>
          <w:sz w:val="24"/>
          <w:szCs w:val="28"/>
          <w:lang w:val="en-US" w:eastAsia="zh-CN" w:bidi="ar"/>
        </w:rPr>
        <w:t>运行阶段碳排放应包括暖通空调、生活热水、照明及电梯、可</w:t>
      </w:r>
      <w:r>
        <w:rPr>
          <w:rFonts w:hint="default" w:cs="Times New Roman"/>
          <w:bCs w:val="0"/>
          <w:kern w:val="2"/>
          <w:sz w:val="24"/>
          <w:szCs w:val="28"/>
          <w:lang w:val="en-US" w:eastAsia="zh-CN" w:bidi="ar"/>
        </w:rPr>
        <w:t>再</w:t>
      </w:r>
      <w:r>
        <w:rPr>
          <w:rFonts w:ascii="Times New Roman" w:hAnsi="Times New Roman" w:eastAsia="宋体" w:cs="Times New Roman"/>
          <w:bCs w:val="0"/>
          <w:kern w:val="2"/>
          <w:sz w:val="24"/>
          <w:szCs w:val="28"/>
          <w:lang w:val="en-US" w:eastAsia="zh-CN" w:bidi="ar"/>
        </w:rPr>
        <w:t>生</w:t>
      </w:r>
    </w:p>
    <w:p>
      <w:pPr>
        <w:widowControl/>
        <w:numPr>
          <w:ilvl w:val="-1"/>
          <w:numId w:val="0"/>
        </w:numPr>
        <w:adjustRightInd w:val="0"/>
        <w:spacing w:line="360" w:lineRule="auto"/>
        <w:ind w:left="992" w:firstLine="240" w:firstLineChars="100"/>
        <w:jc w:val="both"/>
        <w:outlineLvl w:val="9"/>
        <w:rPr>
          <w:rFonts w:ascii="Times New Roman" w:hAnsi="Times New Roman" w:eastAsia="宋体" w:cs="Times New Roman"/>
          <w:bCs w:val="0"/>
          <w:kern w:val="2"/>
          <w:sz w:val="24"/>
          <w:szCs w:val="28"/>
          <w:lang w:val="en-US" w:eastAsia="zh-CN" w:bidi="ar"/>
        </w:rPr>
      </w:pPr>
      <w:r>
        <w:rPr>
          <w:rFonts w:ascii="Times New Roman" w:hAnsi="Times New Roman" w:eastAsia="宋体" w:cs="Times New Roman"/>
          <w:bCs w:val="0"/>
          <w:kern w:val="2"/>
          <w:sz w:val="24"/>
          <w:szCs w:val="28"/>
          <w:lang w:val="en-US" w:eastAsia="zh-CN" w:bidi="ar"/>
        </w:rPr>
        <w:t>能源系统碳排放和建筑碳汇系统；</w:t>
      </w:r>
    </w:p>
    <w:p>
      <w:pPr>
        <w:widowControl/>
        <w:numPr>
          <w:ilvl w:val="0"/>
          <w:numId w:val="164"/>
        </w:numPr>
        <w:adjustRightInd w:val="0"/>
        <w:spacing w:line="360" w:lineRule="auto"/>
        <w:ind w:firstLine="567" w:firstLineChars="0"/>
        <w:jc w:val="both"/>
        <w:outlineLvl w:val="9"/>
        <w:rPr>
          <w:rFonts w:ascii="Times New Roman" w:hAnsi="Times New Roman" w:eastAsia="宋体" w:cs="Times New Roman"/>
          <w:bCs w:val="0"/>
          <w:kern w:val="2"/>
          <w:sz w:val="24"/>
          <w:szCs w:val="28"/>
          <w:lang w:val="en-US" w:eastAsia="zh-CN" w:bidi="ar"/>
        </w:rPr>
      </w:pPr>
      <w:r>
        <w:rPr>
          <w:rFonts w:ascii="Times New Roman" w:hAnsi="Times New Roman" w:eastAsia="宋体" w:cs="Times New Roman"/>
          <w:bCs w:val="0"/>
          <w:kern w:val="2"/>
          <w:sz w:val="24"/>
          <w:szCs w:val="28"/>
          <w:lang w:val="en-US" w:eastAsia="zh-CN" w:bidi="ar"/>
        </w:rPr>
        <w:t xml:space="preserve">运行阶段碳排放应符合国家标准《建筑碳排放计算标准》GB/T </w:t>
      </w:r>
    </w:p>
    <w:p>
      <w:pPr>
        <w:widowControl/>
        <w:numPr>
          <w:ilvl w:val="-1"/>
          <w:numId w:val="0"/>
        </w:numPr>
        <w:adjustRightInd w:val="0"/>
        <w:spacing w:line="360" w:lineRule="auto"/>
        <w:ind w:left="992" w:firstLine="240" w:firstLineChars="100"/>
        <w:jc w:val="both"/>
        <w:outlineLvl w:val="9"/>
        <w:rPr>
          <w:rFonts w:ascii="Times New Roman" w:hAnsi="Times New Roman" w:eastAsia="宋体" w:cs="Times New Roman"/>
          <w:bCs w:val="0"/>
          <w:kern w:val="2"/>
          <w:sz w:val="24"/>
          <w:szCs w:val="28"/>
          <w:lang w:val="en-US" w:eastAsia="zh-CN" w:bidi="ar"/>
        </w:rPr>
      </w:pPr>
      <w:r>
        <w:rPr>
          <w:rFonts w:ascii="Times New Roman" w:hAnsi="Times New Roman" w:eastAsia="宋体" w:cs="Times New Roman"/>
          <w:bCs w:val="0"/>
          <w:kern w:val="2"/>
          <w:sz w:val="24"/>
          <w:szCs w:val="28"/>
          <w:lang w:val="en-US" w:eastAsia="zh-CN" w:bidi="ar"/>
        </w:rPr>
        <w:t>51366-2019中4.1.4条的规定；</w:t>
      </w:r>
    </w:p>
    <w:p>
      <w:pPr>
        <w:widowControl/>
        <w:numPr>
          <w:ilvl w:val="0"/>
          <w:numId w:val="164"/>
        </w:numPr>
        <w:adjustRightInd w:val="0"/>
        <w:spacing w:line="360" w:lineRule="auto"/>
        <w:ind w:firstLine="567" w:firstLineChars="0"/>
        <w:jc w:val="both"/>
        <w:outlineLvl w:val="9"/>
        <w:rPr>
          <w:rFonts w:ascii="Times New Roman" w:hAnsi="Times New Roman" w:eastAsia="宋体" w:cs="Times New Roman"/>
          <w:bCs w:val="0"/>
          <w:kern w:val="2"/>
          <w:sz w:val="24"/>
          <w:szCs w:val="28"/>
          <w:lang w:val="en-US" w:eastAsia="zh-CN" w:bidi="ar"/>
        </w:rPr>
      </w:pPr>
      <w:r>
        <w:rPr>
          <w:rFonts w:ascii="Times New Roman" w:hAnsi="Times New Roman" w:eastAsia="宋体" w:cs="Times New Roman"/>
          <w:bCs w:val="0"/>
          <w:kern w:val="2"/>
          <w:sz w:val="24"/>
          <w:szCs w:val="28"/>
          <w:lang w:val="en-US" w:eastAsia="zh-CN" w:bidi="ar"/>
        </w:rPr>
        <w:t>能源消耗量应采用建筑实际运行计量数据。</w:t>
      </w:r>
    </w:p>
    <w:p>
      <w:pPr>
        <w:numPr>
          <w:ilvl w:val="0"/>
          <w:numId w:val="163"/>
        </w:numPr>
        <w:spacing w:line="360" w:lineRule="auto"/>
        <w:ind w:left="0" w:firstLine="480" w:firstLineChars="200"/>
        <w:jc w:val="both"/>
        <w:rPr>
          <w:rFonts w:ascii="Times New Roman" w:hAnsi="Times New Roman" w:cs="Times New Roman"/>
          <w:sz w:val="24"/>
          <w:szCs w:val="24"/>
        </w:rPr>
      </w:pPr>
      <w:r>
        <w:rPr>
          <w:rFonts w:ascii="Times New Roman" w:hAnsi="Times New Roman" w:cs="Times New Roman"/>
          <w:sz w:val="24"/>
          <w:szCs w:val="24"/>
        </w:rPr>
        <w:t>检验成果：建筑</w:t>
      </w:r>
      <w:r>
        <w:rPr>
          <w:rFonts w:ascii="Times New Roman" w:hAnsi="Times New Roman" w:cs="Times New Roman"/>
          <w:sz w:val="24"/>
          <w:szCs w:val="24"/>
          <w:lang w:eastAsia="zh"/>
        </w:rPr>
        <w:t>运行阶段碳</w:t>
      </w:r>
      <w:r>
        <w:rPr>
          <w:rFonts w:ascii="Times New Roman" w:hAnsi="Times New Roman" w:cs="Times New Roman"/>
          <w:sz w:val="24"/>
          <w:szCs w:val="24"/>
        </w:rPr>
        <w:t>排放</w:t>
      </w:r>
      <w:r>
        <w:rPr>
          <w:rFonts w:ascii="Times New Roman" w:hAnsi="Times New Roman" w:cs="Times New Roman"/>
          <w:sz w:val="24"/>
          <w:szCs w:val="24"/>
          <w:lang w:eastAsia="zh"/>
        </w:rPr>
        <w:t>检验</w:t>
      </w:r>
      <w:r>
        <w:rPr>
          <w:rFonts w:ascii="Times New Roman" w:hAnsi="Times New Roman" w:cs="Times New Roman"/>
          <w:sz w:val="24"/>
          <w:szCs w:val="24"/>
        </w:rPr>
        <w:t>报告。</w:t>
      </w:r>
    </w:p>
    <w:p>
      <w:pPr>
        <w:widowControl w:val="0"/>
        <w:numPr>
          <w:ilvl w:val="0"/>
          <w:numId w:val="0"/>
        </w:numPr>
        <w:spacing w:before="0" w:after="0" w:line="360" w:lineRule="auto"/>
        <w:ind w:left="420" w:leftChars="0" w:hanging="420" w:firstLineChars="0"/>
        <w:jc w:val="both"/>
        <w:outlineLvl w:val="9"/>
        <w:rPr>
          <w:rFonts w:ascii="Times New Roman" w:hAnsi="Times New Roman" w:eastAsia="宋体" w:cs="Times New Roman"/>
          <w:b w:val="0"/>
          <w:bCs/>
          <w:kern w:val="28"/>
          <w:sz w:val="24"/>
          <w:szCs w:val="32"/>
          <w:lang w:val="zh-CN" w:eastAsia="zh-CN" w:bidi="ar-SA"/>
        </w:rPr>
      </w:pPr>
      <w:r>
        <w:rPr>
          <w:rFonts w:hint="eastAsia" w:ascii="Times New Roman" w:hAnsi="Times New Roman" w:eastAsia="宋体" w:cs="Times New Roman"/>
          <w:b/>
          <w:bCs/>
          <w:kern w:val="28"/>
          <w:sz w:val="24"/>
          <w:szCs w:val="24"/>
          <w:lang w:val="zh-CN" w:eastAsia="zh-CN" w:bidi="ar-SA"/>
        </w:rPr>
        <w:t>9.0.3</w:t>
      </w:r>
      <w:r>
        <w:rPr>
          <w:rFonts w:hint="eastAsia" w:cs="Times New Roman"/>
          <w:b/>
          <w:bCs/>
          <w:kern w:val="28"/>
          <w:sz w:val="24"/>
          <w:szCs w:val="24"/>
          <w:lang w:val="en-US" w:eastAsia="zh-CN" w:bidi="ar-SA"/>
        </w:rPr>
        <w:t xml:space="preserve">   </w:t>
      </w:r>
      <w:r>
        <w:rPr>
          <w:rFonts w:ascii="Times New Roman" w:hAnsi="Times New Roman" w:eastAsia="宋体" w:cs="Times New Roman"/>
          <w:b w:val="0"/>
          <w:bCs/>
          <w:kern w:val="28"/>
          <w:sz w:val="24"/>
          <w:szCs w:val="32"/>
          <w:lang w:val="zh-CN" w:eastAsia="zh-CN" w:bidi="ar-SA"/>
        </w:rPr>
        <w:t>【绿容率】绿色建筑场地绿容率的检验应符合下列规定：</w:t>
      </w:r>
    </w:p>
    <w:p>
      <w:pPr>
        <w:widowControl w:val="0"/>
        <w:numPr>
          <w:ilvl w:val="0"/>
          <w:numId w:val="165"/>
        </w:numPr>
        <w:spacing w:before="0" w:after="0" w:line="360" w:lineRule="auto"/>
        <w:ind w:left="840" w:hanging="36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检验内容：场地绿容率。</w:t>
      </w:r>
    </w:p>
    <w:p>
      <w:pPr>
        <w:widowControl w:val="0"/>
        <w:numPr>
          <w:ilvl w:val="0"/>
          <w:numId w:val="165"/>
        </w:numPr>
        <w:spacing w:before="0" w:after="0" w:line="360" w:lineRule="auto"/>
        <w:ind w:left="840" w:hanging="360"/>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val="0"/>
          <w:bCs/>
          <w:kern w:val="28"/>
          <w:sz w:val="24"/>
          <w:szCs w:val="32"/>
          <w:lang w:val="zh-CN" w:eastAsia="zh-CN" w:bidi="ar-SA"/>
        </w:rPr>
        <w:t>检验方法：</w:t>
      </w:r>
    </w:p>
    <w:p>
      <w:pPr>
        <w:widowControl/>
        <w:numPr>
          <w:ilvl w:val="0"/>
          <w:numId w:val="166"/>
        </w:numPr>
        <w:adjustRightInd w:val="0"/>
        <w:spacing w:line="360" w:lineRule="auto"/>
        <w:ind w:firstLine="567" w:firstLineChars="0"/>
        <w:jc w:val="both"/>
        <w:outlineLvl w:val="9"/>
        <w:rPr>
          <w:rFonts w:ascii="Times New Roman" w:hAnsi="Times New Roman" w:eastAsia="宋体" w:cs="Times New Roman"/>
          <w:bCs w:val="0"/>
          <w:kern w:val="2"/>
          <w:sz w:val="24"/>
          <w:szCs w:val="28"/>
          <w:lang w:val="en-US" w:eastAsia="zh-CN" w:bidi="ar"/>
        </w:rPr>
      </w:pPr>
      <w:r>
        <w:rPr>
          <w:rFonts w:ascii="Times New Roman" w:hAnsi="Times New Roman" w:eastAsia="宋体" w:cs="Times New Roman"/>
          <w:bCs w:val="0"/>
          <w:kern w:val="2"/>
          <w:sz w:val="24"/>
          <w:szCs w:val="28"/>
          <w:lang w:val="en-US" w:eastAsia="zh-CN" w:bidi="ar"/>
        </w:rPr>
        <w:t>查阅相关竣工图和计算书等设计文件；</w:t>
      </w:r>
    </w:p>
    <w:p>
      <w:pPr>
        <w:widowControl/>
        <w:numPr>
          <w:ilvl w:val="0"/>
          <w:numId w:val="166"/>
        </w:numPr>
        <w:adjustRightInd w:val="0"/>
        <w:spacing w:line="360" w:lineRule="auto"/>
        <w:ind w:firstLine="567" w:firstLineChars="0"/>
        <w:jc w:val="both"/>
        <w:outlineLvl w:val="9"/>
        <w:rPr>
          <w:rFonts w:ascii="Times New Roman" w:hAnsi="Times New Roman" w:eastAsia="宋体" w:cs="Times New Roman"/>
          <w:bCs w:val="0"/>
          <w:kern w:val="2"/>
          <w:sz w:val="24"/>
          <w:szCs w:val="28"/>
          <w:lang w:val="en-US" w:eastAsia="zh-CN" w:bidi="ar"/>
        </w:rPr>
      </w:pPr>
      <w:r>
        <w:rPr>
          <w:rFonts w:ascii="Times New Roman" w:hAnsi="Times New Roman" w:eastAsia="宋体" w:cs="Times New Roman"/>
          <w:bCs w:val="0"/>
          <w:kern w:val="2"/>
          <w:sz w:val="24"/>
          <w:szCs w:val="28"/>
          <w:lang w:val="en-US" w:eastAsia="zh-CN" w:bidi="ar"/>
        </w:rPr>
        <w:t>现场核查种植乔木、灌木和草本等植物的面积和实施区域面积与竣</w:t>
      </w:r>
    </w:p>
    <w:p>
      <w:pPr>
        <w:widowControl/>
        <w:numPr>
          <w:ilvl w:val="-1"/>
          <w:numId w:val="0"/>
        </w:numPr>
        <w:adjustRightInd w:val="0"/>
        <w:spacing w:line="360" w:lineRule="auto"/>
        <w:ind w:left="992" w:firstLine="240" w:firstLineChars="100"/>
        <w:jc w:val="both"/>
        <w:outlineLvl w:val="9"/>
        <w:rPr>
          <w:rFonts w:ascii="Times New Roman" w:hAnsi="Times New Roman" w:eastAsia="宋体" w:cs="Times New Roman"/>
          <w:bCs w:val="0"/>
          <w:kern w:val="2"/>
          <w:sz w:val="24"/>
          <w:szCs w:val="28"/>
          <w:lang w:val="en-US" w:eastAsia="zh-CN" w:bidi="ar"/>
        </w:rPr>
      </w:pPr>
      <w:r>
        <w:rPr>
          <w:rFonts w:ascii="Times New Roman" w:hAnsi="Times New Roman" w:eastAsia="宋体" w:cs="Times New Roman"/>
          <w:bCs w:val="0"/>
          <w:kern w:val="2"/>
          <w:sz w:val="24"/>
          <w:szCs w:val="28"/>
          <w:lang w:val="en-US" w:eastAsia="zh-CN" w:bidi="ar"/>
        </w:rPr>
        <w:t>工图、计算书等设计文件的符合性；</w:t>
      </w:r>
    </w:p>
    <w:p>
      <w:pPr>
        <w:widowControl/>
        <w:numPr>
          <w:ilvl w:val="0"/>
          <w:numId w:val="166"/>
        </w:numPr>
        <w:adjustRightInd w:val="0"/>
        <w:spacing w:line="360" w:lineRule="auto"/>
        <w:ind w:firstLine="567" w:firstLineChars="0"/>
        <w:jc w:val="both"/>
        <w:outlineLvl w:val="9"/>
        <w:rPr>
          <w:rFonts w:ascii="Times New Roman" w:hAnsi="Times New Roman" w:eastAsia="宋体" w:cs="Times New Roman"/>
          <w:b w:val="0"/>
          <w:bCs w:val="0"/>
          <w:kern w:val="2"/>
          <w:sz w:val="24"/>
          <w:szCs w:val="28"/>
          <w:lang w:val="en-US" w:eastAsia="zh-CN" w:bidi="ar"/>
        </w:rPr>
      </w:pPr>
      <w:r>
        <w:rPr>
          <w:rFonts w:ascii="Times New Roman" w:hAnsi="Times New Roman" w:eastAsia="宋体" w:cs="Times New Roman"/>
          <w:bCs w:val="0"/>
          <w:kern w:val="2"/>
          <w:sz w:val="24"/>
          <w:szCs w:val="28"/>
          <w:lang w:val="en-US" w:eastAsia="zh-CN" w:bidi="ar"/>
        </w:rPr>
        <w:t>建筑立体绿化应按草本植物考虑，实施面积纳入草本占地面积的计</w:t>
      </w:r>
    </w:p>
    <w:p>
      <w:pPr>
        <w:widowControl/>
        <w:numPr>
          <w:ilvl w:val="-1"/>
          <w:numId w:val="0"/>
        </w:numPr>
        <w:adjustRightInd w:val="0"/>
        <w:spacing w:line="360" w:lineRule="auto"/>
        <w:ind w:left="992" w:firstLine="240" w:firstLineChars="100"/>
        <w:jc w:val="both"/>
        <w:outlineLvl w:val="9"/>
        <w:rPr>
          <w:rFonts w:ascii="Times New Roman" w:hAnsi="Times New Roman" w:eastAsia="宋体" w:cs="Times New Roman"/>
          <w:b w:val="0"/>
          <w:bCs w:val="0"/>
          <w:kern w:val="2"/>
          <w:sz w:val="24"/>
          <w:szCs w:val="28"/>
          <w:lang w:val="en-US" w:eastAsia="zh-CN" w:bidi="ar"/>
        </w:rPr>
      </w:pPr>
      <w:r>
        <w:rPr>
          <w:rFonts w:ascii="Times New Roman" w:hAnsi="Times New Roman" w:eastAsia="宋体" w:cs="Times New Roman"/>
          <w:bCs w:val="0"/>
          <w:kern w:val="2"/>
          <w:sz w:val="24"/>
          <w:szCs w:val="28"/>
          <w:lang w:val="en-US" w:eastAsia="zh-CN" w:bidi="ar"/>
        </w:rPr>
        <w:t>算。</w:t>
      </w:r>
    </w:p>
    <w:p>
      <w:pPr>
        <w:widowControl w:val="0"/>
        <w:numPr>
          <w:ilvl w:val="0"/>
          <w:numId w:val="165"/>
        </w:numPr>
        <w:spacing w:before="0" w:after="0" w:line="360" w:lineRule="auto"/>
        <w:ind w:left="840" w:hanging="360"/>
        <w:jc w:val="both"/>
        <w:outlineLvl w:val="9"/>
        <w:rPr>
          <w:rFonts w:ascii="Times New Roman" w:hAnsi="Times New Roman" w:eastAsia="黑体" w:cs="Times New Roman"/>
          <w:b/>
          <w:bCs/>
          <w:kern w:val="28"/>
          <w:sz w:val="28"/>
          <w:szCs w:val="28"/>
          <w:lang w:val="zh-CN" w:eastAsia="zh-CN" w:bidi="ar-SA"/>
        </w:rPr>
      </w:pPr>
      <w:r>
        <w:rPr>
          <w:rFonts w:ascii="Times New Roman" w:hAnsi="Times New Roman" w:eastAsia="宋体" w:cs="Times New Roman"/>
          <w:b w:val="0"/>
          <w:bCs/>
          <w:kern w:val="28"/>
          <w:sz w:val="24"/>
          <w:szCs w:val="32"/>
          <w:lang w:val="zh-CN" w:eastAsia="zh-CN" w:bidi="ar-SA"/>
        </w:rPr>
        <w:t>检验成果：场地绿容率检验报告。</w:t>
      </w:r>
    </w:p>
    <w:p>
      <w:pPr>
        <w:widowControl w:val="0"/>
        <w:spacing w:before="0" w:after="0" w:line="360" w:lineRule="auto"/>
        <w:jc w:val="both"/>
        <w:outlineLvl w:val="9"/>
        <w:rPr>
          <w:rFonts w:ascii="Times New Roman" w:hAnsi="Times New Roman" w:eastAsia="黑体" w:cs="Times New Roman"/>
          <w:b/>
          <w:bCs/>
          <w:kern w:val="28"/>
          <w:sz w:val="28"/>
          <w:szCs w:val="28"/>
          <w:lang w:val="zh-CN" w:eastAsia="zh-CN" w:bidi="ar-SA"/>
        </w:rPr>
      </w:pPr>
      <w:r>
        <w:rPr>
          <w:rFonts w:ascii="Times New Roman" w:hAnsi="Times New Roman" w:eastAsia="宋体" w:cs="Times New Roman"/>
          <w:b w:val="0"/>
          <w:bCs/>
          <w:kern w:val="28"/>
          <w:sz w:val="24"/>
          <w:szCs w:val="32"/>
          <w:lang w:val="zh-CN" w:eastAsia="zh-CN" w:bidi="ar-SA"/>
        </w:rPr>
        <w:t xml:space="preserve">   </w:t>
      </w:r>
      <w:r>
        <w:rPr>
          <w:rFonts w:ascii="Times New Roman" w:hAnsi="Times New Roman" w:eastAsia="黑体" w:cs="Times New Roman"/>
          <w:b/>
          <w:bCs/>
          <w:kern w:val="28"/>
          <w:sz w:val="28"/>
          <w:szCs w:val="28"/>
          <w:lang w:val="zh-CN" w:eastAsia="zh-CN" w:bidi="ar-SA"/>
        </w:rPr>
        <w:t xml:space="preserve"> </w:t>
      </w:r>
    </w:p>
    <w:p>
      <w:pPr>
        <w:rPr>
          <w:lang w:val="zh-CN"/>
        </w:rPr>
        <w:sectPr>
          <w:footerReference r:id="rId11" w:type="default"/>
          <w:pgSz w:w="11906" w:h="16838"/>
          <w:pgMar w:top="1134" w:right="1797" w:bottom="1134" w:left="1797" w:header="851" w:footer="992" w:gutter="0"/>
          <w:pgNumType w:fmt="decimal"/>
          <w:cols w:space="720" w:num="1"/>
          <w:docGrid w:type="lines" w:linePitch="312" w:charSpace="0"/>
        </w:sectPr>
      </w:pPr>
    </w:p>
    <w:p>
      <w:pPr>
        <w:keepNext/>
        <w:keepLines/>
        <w:widowControl w:val="0"/>
        <w:spacing w:before="340" w:after="330" w:line="578" w:lineRule="auto"/>
        <w:jc w:val="center"/>
        <w:outlineLvl w:val="0"/>
        <w:rPr>
          <w:rFonts w:ascii="Times New Roman" w:hAnsi="Times New Roman" w:eastAsia="宋体" w:cs="Times New Roman"/>
          <w:b/>
          <w:bCs/>
          <w:kern w:val="44"/>
          <w:sz w:val="28"/>
          <w:szCs w:val="28"/>
          <w:lang w:val="en-US" w:eastAsia="zh-CN" w:bidi="ar-SA"/>
        </w:rPr>
      </w:pPr>
      <w:bookmarkStart w:id="66" w:name="_Toc204157436"/>
      <w:r>
        <w:rPr>
          <w:rFonts w:ascii="Times New Roman" w:hAnsi="Times New Roman" w:eastAsia="宋体" w:cs="Times New Roman"/>
          <w:b/>
          <w:bCs/>
          <w:kern w:val="44"/>
          <w:sz w:val="28"/>
          <w:szCs w:val="28"/>
          <w:lang w:val="en-US" w:eastAsia="zh-CN" w:bidi="ar-SA"/>
        </w:rPr>
        <w:t>附录A 检验参数的结果和结论</w:t>
      </w:r>
      <w:bookmarkEnd w:id="66"/>
    </w:p>
    <w:p>
      <w:pPr>
        <w:widowControl w:val="0"/>
        <w:spacing w:before="0" w:after="0" w:line="360" w:lineRule="auto"/>
        <w:jc w:val="both"/>
        <w:outlineLvl w:val="9"/>
        <w:rPr>
          <w:rFonts w:ascii="Times New Roman" w:hAnsi="Times New Roman" w:eastAsia="宋体" w:cs="Times New Roman"/>
          <w:b w:val="0"/>
          <w:bCs/>
          <w:kern w:val="28"/>
          <w:sz w:val="24"/>
          <w:szCs w:val="32"/>
          <w:lang w:val="zh-CN" w:eastAsia="zh-CN" w:bidi="ar-SA"/>
        </w:rPr>
      </w:pPr>
      <w:r>
        <w:rPr>
          <w:rFonts w:ascii="Times New Roman" w:hAnsi="Times New Roman" w:eastAsia="宋体" w:cs="Times New Roman"/>
          <w:b/>
          <w:bCs/>
          <w:kern w:val="28"/>
          <w:sz w:val="24"/>
          <w:szCs w:val="32"/>
          <w:lang w:val="en-US" w:eastAsia="zh-CN" w:bidi="ar-SA"/>
        </w:rPr>
        <w:t>A</w:t>
      </w:r>
      <w:r>
        <w:rPr>
          <w:rFonts w:ascii="Times New Roman" w:hAnsi="Times New Roman" w:eastAsia="宋体" w:cs="Times New Roman"/>
          <w:b/>
          <w:bCs/>
          <w:kern w:val="28"/>
          <w:sz w:val="24"/>
          <w:szCs w:val="32"/>
          <w:lang w:val="zh-CN" w:eastAsia="zh-CN" w:bidi="ar-SA"/>
        </w:rPr>
        <w:t>.0.1</w:t>
      </w:r>
      <w:r>
        <w:rPr>
          <w:rFonts w:ascii="Times New Roman" w:hAnsi="Times New Roman" w:eastAsia="宋体" w:cs="Times New Roman"/>
          <w:b w:val="0"/>
          <w:bCs/>
          <w:kern w:val="28"/>
          <w:sz w:val="24"/>
          <w:szCs w:val="32"/>
          <w:lang w:val="zh-CN" w:eastAsia="zh-CN" w:bidi="ar-SA"/>
        </w:rPr>
        <w:t xml:space="preserve">  本规程所有检验参数的检验结果分为定性结果和定量结果。定性结果的结论应为符合或不符合；定量结果应根据参数量纲给出具体数值。各参数分类应符合表A.0.1和A.0.2的规定。</w:t>
      </w:r>
    </w:p>
    <w:p>
      <w:pPr>
        <w:spacing w:line="240" w:lineRule="auto"/>
        <w:jc w:val="center"/>
        <w:rPr>
          <w:rFonts w:ascii="Times New Roman" w:hAnsi="Times New Roman" w:eastAsia="黑体" w:cs="Times New Roman"/>
          <w:szCs w:val="24"/>
          <w:lang w:val="zh-CN"/>
        </w:rPr>
      </w:pPr>
      <w:r>
        <w:rPr>
          <w:rFonts w:ascii="Times New Roman" w:hAnsi="Times New Roman" w:eastAsia="黑体" w:cs="Times New Roman"/>
          <w:szCs w:val="24"/>
          <w:lang w:val="zh-CN"/>
        </w:rPr>
        <w:t>表A.0.1 定性检验参数</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194"/>
        <w:gridCol w:w="2192"/>
        <w:gridCol w:w="2142"/>
        <w:gridCol w:w="1276"/>
        <w:gridCol w:w="9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817"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条文号</w:t>
            </w:r>
          </w:p>
        </w:tc>
        <w:tc>
          <w:tcPr>
            <w:tcW w:w="1194"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检验参数</w:t>
            </w:r>
          </w:p>
        </w:tc>
        <w:tc>
          <w:tcPr>
            <w:tcW w:w="2192"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检验内容</w:t>
            </w:r>
          </w:p>
        </w:tc>
        <w:tc>
          <w:tcPr>
            <w:tcW w:w="2142"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 xml:space="preserve">检验结论 </w:t>
            </w:r>
          </w:p>
        </w:tc>
        <w:tc>
          <w:tcPr>
            <w:tcW w:w="1276"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标准或设计要求</w:t>
            </w:r>
          </w:p>
        </w:tc>
        <w:tc>
          <w:tcPr>
            <w:tcW w:w="907"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7" w:hRule="atLeast"/>
        </w:trPr>
        <w:tc>
          <w:tcPr>
            <w:tcW w:w="817"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4"/>
                <w:lang w:bidi="ar"/>
              </w:rPr>
              <w:t>4.2.6</w:t>
            </w:r>
          </w:p>
        </w:tc>
        <w:tc>
          <w:tcPr>
            <w:tcW w:w="1194"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4"/>
                <w:lang w:bidi="ar"/>
              </w:rPr>
              <w:t>外墙门窗</w:t>
            </w:r>
          </w:p>
        </w:tc>
        <w:tc>
          <w:tcPr>
            <w:tcW w:w="2192" w:type="dxa"/>
            <w:noWrap w:val="0"/>
            <w:vAlign w:val="center"/>
          </w:tcPr>
          <w:p>
            <w:pPr>
              <w:spacing w:line="240" w:lineRule="auto"/>
              <w:jc w:val="left"/>
              <w:rPr>
                <w:rFonts w:ascii="Times New Roman" w:hAnsi="Times New Roman" w:cs="Times New Roman"/>
                <w:szCs w:val="21"/>
              </w:rPr>
            </w:pPr>
            <w:r>
              <w:rPr>
                <w:rFonts w:ascii="Times New Roman" w:hAnsi="Times New Roman" w:cs="Times New Roman"/>
                <w:szCs w:val="24"/>
                <w:lang w:bidi="ar"/>
              </w:rPr>
              <w:t>建筑外墙门窗质量检测</w:t>
            </w:r>
          </w:p>
        </w:tc>
        <w:tc>
          <w:tcPr>
            <w:tcW w:w="2142"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4"/>
                <w:lang w:bidi="ar"/>
              </w:rPr>
              <w:t>□符合  □不符合</w:t>
            </w:r>
          </w:p>
        </w:tc>
        <w:tc>
          <w:tcPr>
            <w:tcW w:w="1276" w:type="dxa"/>
            <w:noWrap w:val="0"/>
            <w:vAlign w:val="top"/>
          </w:tcPr>
          <w:p>
            <w:pPr>
              <w:spacing w:line="240" w:lineRule="auto"/>
              <w:jc w:val="both"/>
              <w:rPr>
                <w:rFonts w:ascii="Times New Roman" w:hAnsi="Times New Roman" w:cs="Times New Roman"/>
                <w:szCs w:val="21"/>
              </w:rPr>
            </w:pPr>
          </w:p>
        </w:tc>
        <w:tc>
          <w:tcPr>
            <w:tcW w:w="907" w:type="dxa"/>
            <w:noWrap w:val="0"/>
            <w:vAlign w:val="center"/>
          </w:tcPr>
          <w:p>
            <w:pPr>
              <w:spacing w:line="240" w:lineRule="auto"/>
              <w:jc w:val="center"/>
              <w:rPr>
                <w:rFonts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7" w:hRule="atLeast"/>
        </w:trPr>
        <w:tc>
          <w:tcPr>
            <w:tcW w:w="817"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4.2.7</w:t>
            </w:r>
          </w:p>
        </w:tc>
        <w:tc>
          <w:tcPr>
            <w:tcW w:w="1194"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防护栏杆</w:t>
            </w:r>
          </w:p>
        </w:tc>
        <w:tc>
          <w:tcPr>
            <w:tcW w:w="2192" w:type="dxa"/>
            <w:noWrap w:val="0"/>
            <w:vAlign w:val="center"/>
          </w:tcPr>
          <w:p>
            <w:pPr>
              <w:spacing w:line="240" w:lineRule="auto"/>
              <w:jc w:val="left"/>
              <w:rPr>
                <w:rFonts w:ascii="Times New Roman" w:hAnsi="Times New Roman" w:cs="Times New Roman"/>
                <w:szCs w:val="21"/>
              </w:rPr>
            </w:pPr>
            <w:r>
              <w:rPr>
                <w:rFonts w:ascii="Times New Roman" w:hAnsi="Times New Roman" w:cs="Times New Roman"/>
                <w:szCs w:val="21"/>
              </w:rPr>
              <w:t>建筑防护栏杆、栏板</w:t>
            </w:r>
          </w:p>
        </w:tc>
        <w:tc>
          <w:tcPr>
            <w:tcW w:w="2142"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4"/>
              </w:rPr>
              <w:t>□符合  □不符合</w:t>
            </w:r>
          </w:p>
        </w:tc>
        <w:tc>
          <w:tcPr>
            <w:tcW w:w="1276" w:type="dxa"/>
            <w:noWrap w:val="0"/>
            <w:vAlign w:val="center"/>
          </w:tcPr>
          <w:p>
            <w:pPr>
              <w:spacing w:line="240" w:lineRule="auto"/>
              <w:jc w:val="center"/>
              <w:rPr>
                <w:rFonts w:ascii="Times New Roman" w:hAnsi="Times New Roman" w:cs="Times New Roman"/>
                <w:szCs w:val="21"/>
              </w:rPr>
            </w:pPr>
          </w:p>
        </w:tc>
        <w:tc>
          <w:tcPr>
            <w:tcW w:w="907" w:type="dxa"/>
            <w:noWrap w:val="0"/>
            <w:vAlign w:val="center"/>
          </w:tcPr>
          <w:p>
            <w:pPr>
              <w:spacing w:line="240" w:lineRule="auto"/>
              <w:jc w:val="center"/>
              <w:rPr>
                <w:rFonts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7" w:hRule="atLeast"/>
        </w:trPr>
        <w:tc>
          <w:tcPr>
            <w:tcW w:w="817" w:type="dxa"/>
            <w:vMerge w:val="restart"/>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4"/>
                <w:lang w:bidi="ar"/>
              </w:rPr>
              <w:t>4.3.2</w:t>
            </w:r>
          </w:p>
        </w:tc>
        <w:tc>
          <w:tcPr>
            <w:tcW w:w="1194" w:type="dxa"/>
            <w:vMerge w:val="restart"/>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耐久性</w:t>
            </w:r>
          </w:p>
        </w:tc>
        <w:tc>
          <w:tcPr>
            <w:tcW w:w="2192" w:type="dxa"/>
            <w:noWrap w:val="0"/>
            <w:vAlign w:val="center"/>
          </w:tcPr>
          <w:p>
            <w:pPr>
              <w:spacing w:line="240" w:lineRule="auto"/>
              <w:jc w:val="left"/>
              <w:rPr>
                <w:rFonts w:ascii="Times New Roman" w:hAnsi="Times New Roman" w:cs="Times New Roman"/>
                <w:szCs w:val="21"/>
              </w:rPr>
            </w:pPr>
            <w:r>
              <w:rPr>
                <w:rFonts w:ascii="Times New Roman" w:hAnsi="Times New Roman" w:cs="Times New Roman"/>
                <w:szCs w:val="21"/>
              </w:rPr>
              <w:t>门窗</w:t>
            </w:r>
          </w:p>
        </w:tc>
        <w:tc>
          <w:tcPr>
            <w:tcW w:w="2142"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4"/>
              </w:rPr>
              <w:t>□符合  □不符合</w:t>
            </w:r>
          </w:p>
        </w:tc>
        <w:tc>
          <w:tcPr>
            <w:tcW w:w="1276" w:type="dxa"/>
            <w:noWrap w:val="0"/>
            <w:vAlign w:val="center"/>
          </w:tcPr>
          <w:p>
            <w:pPr>
              <w:spacing w:line="240" w:lineRule="auto"/>
              <w:jc w:val="center"/>
              <w:rPr>
                <w:rFonts w:ascii="Times New Roman" w:hAnsi="Times New Roman" w:cs="Times New Roman"/>
                <w:szCs w:val="21"/>
              </w:rPr>
            </w:pPr>
          </w:p>
        </w:tc>
        <w:tc>
          <w:tcPr>
            <w:tcW w:w="907" w:type="dxa"/>
            <w:noWrap w:val="0"/>
            <w:vAlign w:val="center"/>
          </w:tcPr>
          <w:p>
            <w:pPr>
              <w:spacing w:line="240" w:lineRule="auto"/>
              <w:jc w:val="center"/>
              <w:rPr>
                <w:rFonts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7" w:hRule="atLeast"/>
        </w:trPr>
        <w:tc>
          <w:tcPr>
            <w:tcW w:w="817" w:type="dxa"/>
            <w:vMerge w:val="continue"/>
            <w:noWrap w:val="0"/>
            <w:vAlign w:val="center"/>
          </w:tcPr>
          <w:p>
            <w:pPr>
              <w:spacing w:line="240" w:lineRule="auto"/>
              <w:jc w:val="center"/>
              <w:rPr>
                <w:rFonts w:ascii="Times New Roman" w:hAnsi="Times New Roman" w:cs="Times New Roman"/>
                <w:szCs w:val="24"/>
                <w:lang w:bidi="ar"/>
              </w:rPr>
            </w:pPr>
          </w:p>
        </w:tc>
        <w:tc>
          <w:tcPr>
            <w:tcW w:w="1194" w:type="dxa"/>
            <w:vMerge w:val="continue"/>
            <w:noWrap w:val="0"/>
            <w:vAlign w:val="center"/>
          </w:tcPr>
          <w:p>
            <w:pPr>
              <w:spacing w:line="240" w:lineRule="auto"/>
              <w:jc w:val="center"/>
              <w:rPr>
                <w:rFonts w:ascii="Times New Roman" w:hAnsi="Times New Roman" w:cs="Times New Roman"/>
                <w:szCs w:val="21"/>
              </w:rPr>
            </w:pPr>
          </w:p>
        </w:tc>
        <w:tc>
          <w:tcPr>
            <w:tcW w:w="2192" w:type="dxa"/>
            <w:noWrap w:val="0"/>
            <w:vAlign w:val="center"/>
          </w:tcPr>
          <w:p>
            <w:pPr>
              <w:spacing w:line="240" w:lineRule="auto"/>
              <w:jc w:val="left"/>
              <w:rPr>
                <w:rFonts w:ascii="Times New Roman" w:hAnsi="Times New Roman" w:cs="Times New Roman"/>
                <w:szCs w:val="21"/>
              </w:rPr>
            </w:pPr>
            <w:r>
              <w:rPr>
                <w:rFonts w:ascii="Times New Roman" w:hAnsi="Times New Roman" w:cs="Times New Roman"/>
                <w:szCs w:val="21"/>
              </w:rPr>
              <w:t>钢制户门</w:t>
            </w:r>
          </w:p>
        </w:tc>
        <w:tc>
          <w:tcPr>
            <w:tcW w:w="2142"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4"/>
              </w:rPr>
              <w:t>□符合  □不符合</w:t>
            </w:r>
          </w:p>
        </w:tc>
        <w:tc>
          <w:tcPr>
            <w:tcW w:w="1276" w:type="dxa"/>
            <w:noWrap w:val="0"/>
            <w:vAlign w:val="center"/>
          </w:tcPr>
          <w:p>
            <w:pPr>
              <w:spacing w:line="240" w:lineRule="auto"/>
              <w:jc w:val="center"/>
              <w:rPr>
                <w:rFonts w:ascii="Times New Roman" w:hAnsi="Times New Roman" w:cs="Times New Roman"/>
                <w:szCs w:val="21"/>
              </w:rPr>
            </w:pPr>
          </w:p>
        </w:tc>
        <w:tc>
          <w:tcPr>
            <w:tcW w:w="907" w:type="dxa"/>
            <w:noWrap w:val="0"/>
            <w:vAlign w:val="center"/>
          </w:tcPr>
          <w:p>
            <w:pPr>
              <w:spacing w:line="240" w:lineRule="auto"/>
              <w:jc w:val="center"/>
              <w:rPr>
                <w:rFonts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7" w:hRule="atLeast"/>
        </w:trPr>
        <w:tc>
          <w:tcPr>
            <w:tcW w:w="817" w:type="dxa"/>
            <w:vMerge w:val="continue"/>
            <w:noWrap w:val="0"/>
            <w:vAlign w:val="center"/>
          </w:tcPr>
          <w:p>
            <w:pPr>
              <w:spacing w:line="240" w:lineRule="auto"/>
              <w:jc w:val="center"/>
              <w:rPr>
                <w:rFonts w:ascii="Times New Roman" w:hAnsi="Times New Roman" w:cs="Times New Roman"/>
                <w:szCs w:val="24"/>
                <w:lang w:bidi="ar"/>
              </w:rPr>
            </w:pPr>
          </w:p>
        </w:tc>
        <w:tc>
          <w:tcPr>
            <w:tcW w:w="1194" w:type="dxa"/>
            <w:vMerge w:val="continue"/>
            <w:noWrap w:val="0"/>
            <w:vAlign w:val="center"/>
          </w:tcPr>
          <w:p>
            <w:pPr>
              <w:spacing w:line="240" w:lineRule="auto"/>
              <w:jc w:val="center"/>
              <w:rPr>
                <w:rFonts w:ascii="Times New Roman" w:hAnsi="Times New Roman" w:cs="Times New Roman"/>
                <w:szCs w:val="21"/>
              </w:rPr>
            </w:pPr>
          </w:p>
        </w:tc>
        <w:tc>
          <w:tcPr>
            <w:tcW w:w="2192" w:type="dxa"/>
            <w:noWrap w:val="0"/>
            <w:vAlign w:val="center"/>
          </w:tcPr>
          <w:p>
            <w:pPr>
              <w:spacing w:line="240" w:lineRule="auto"/>
              <w:jc w:val="left"/>
              <w:rPr>
                <w:rFonts w:ascii="Times New Roman" w:hAnsi="Times New Roman" w:cs="Times New Roman"/>
                <w:szCs w:val="21"/>
              </w:rPr>
            </w:pPr>
            <w:r>
              <w:rPr>
                <w:rFonts w:ascii="Times New Roman" w:hAnsi="Times New Roman" w:cs="Times New Roman"/>
                <w:szCs w:val="21"/>
              </w:rPr>
              <w:t>遮阳</w:t>
            </w:r>
          </w:p>
        </w:tc>
        <w:tc>
          <w:tcPr>
            <w:tcW w:w="2142"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4"/>
              </w:rPr>
              <w:t>□符合  □不符合</w:t>
            </w:r>
          </w:p>
        </w:tc>
        <w:tc>
          <w:tcPr>
            <w:tcW w:w="1276" w:type="dxa"/>
            <w:noWrap w:val="0"/>
            <w:vAlign w:val="center"/>
          </w:tcPr>
          <w:p>
            <w:pPr>
              <w:spacing w:line="240" w:lineRule="auto"/>
              <w:jc w:val="center"/>
              <w:rPr>
                <w:rFonts w:ascii="Times New Roman" w:hAnsi="Times New Roman" w:cs="Times New Roman"/>
                <w:szCs w:val="21"/>
              </w:rPr>
            </w:pPr>
          </w:p>
        </w:tc>
        <w:tc>
          <w:tcPr>
            <w:tcW w:w="907" w:type="dxa"/>
            <w:noWrap w:val="0"/>
            <w:vAlign w:val="center"/>
          </w:tcPr>
          <w:p>
            <w:pPr>
              <w:spacing w:line="240" w:lineRule="auto"/>
              <w:jc w:val="center"/>
              <w:rPr>
                <w:rFonts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7" w:hRule="atLeast"/>
        </w:trPr>
        <w:tc>
          <w:tcPr>
            <w:tcW w:w="817" w:type="dxa"/>
            <w:vMerge w:val="continue"/>
            <w:noWrap w:val="0"/>
            <w:vAlign w:val="center"/>
          </w:tcPr>
          <w:p>
            <w:pPr>
              <w:spacing w:line="240" w:lineRule="auto"/>
              <w:jc w:val="center"/>
              <w:rPr>
                <w:rFonts w:ascii="Times New Roman" w:hAnsi="Times New Roman" w:cs="Times New Roman"/>
                <w:szCs w:val="21"/>
              </w:rPr>
            </w:pPr>
          </w:p>
        </w:tc>
        <w:tc>
          <w:tcPr>
            <w:tcW w:w="1194" w:type="dxa"/>
            <w:vMerge w:val="continue"/>
            <w:noWrap w:val="0"/>
            <w:vAlign w:val="center"/>
          </w:tcPr>
          <w:p>
            <w:pPr>
              <w:spacing w:line="240" w:lineRule="auto"/>
              <w:jc w:val="center"/>
              <w:rPr>
                <w:rFonts w:ascii="Times New Roman" w:hAnsi="Times New Roman" w:cs="Times New Roman"/>
                <w:szCs w:val="21"/>
              </w:rPr>
            </w:pPr>
          </w:p>
        </w:tc>
        <w:tc>
          <w:tcPr>
            <w:tcW w:w="2192" w:type="dxa"/>
            <w:noWrap w:val="0"/>
            <w:vAlign w:val="center"/>
          </w:tcPr>
          <w:p>
            <w:pPr>
              <w:spacing w:line="240" w:lineRule="auto"/>
              <w:jc w:val="left"/>
              <w:rPr>
                <w:rFonts w:ascii="Times New Roman" w:hAnsi="Times New Roman" w:cs="Times New Roman"/>
                <w:szCs w:val="21"/>
              </w:rPr>
            </w:pPr>
            <w:r>
              <w:rPr>
                <w:rFonts w:ascii="Times New Roman" w:hAnsi="Times New Roman" w:cs="Times New Roman"/>
                <w:szCs w:val="21"/>
              </w:rPr>
              <w:t>水嘴</w:t>
            </w:r>
          </w:p>
        </w:tc>
        <w:tc>
          <w:tcPr>
            <w:tcW w:w="2142"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4"/>
              </w:rPr>
              <w:t>□符合  □不符合</w:t>
            </w:r>
          </w:p>
        </w:tc>
        <w:tc>
          <w:tcPr>
            <w:tcW w:w="1276" w:type="dxa"/>
            <w:noWrap w:val="0"/>
            <w:vAlign w:val="center"/>
          </w:tcPr>
          <w:p>
            <w:pPr>
              <w:spacing w:line="240" w:lineRule="auto"/>
              <w:jc w:val="center"/>
              <w:rPr>
                <w:rFonts w:ascii="Times New Roman" w:hAnsi="Times New Roman" w:cs="Times New Roman"/>
                <w:szCs w:val="21"/>
              </w:rPr>
            </w:pPr>
          </w:p>
        </w:tc>
        <w:tc>
          <w:tcPr>
            <w:tcW w:w="907" w:type="dxa"/>
            <w:noWrap w:val="0"/>
            <w:vAlign w:val="center"/>
          </w:tcPr>
          <w:p>
            <w:pPr>
              <w:spacing w:line="240" w:lineRule="auto"/>
              <w:jc w:val="center"/>
              <w:rPr>
                <w:rFonts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7" w:hRule="atLeast"/>
        </w:trPr>
        <w:tc>
          <w:tcPr>
            <w:tcW w:w="817" w:type="dxa"/>
            <w:vMerge w:val="continue"/>
            <w:noWrap w:val="0"/>
            <w:vAlign w:val="center"/>
          </w:tcPr>
          <w:p>
            <w:pPr>
              <w:spacing w:line="240" w:lineRule="auto"/>
              <w:jc w:val="center"/>
              <w:rPr>
                <w:rFonts w:ascii="Times New Roman" w:hAnsi="Times New Roman" w:cs="Times New Roman"/>
                <w:szCs w:val="21"/>
              </w:rPr>
            </w:pPr>
          </w:p>
        </w:tc>
        <w:tc>
          <w:tcPr>
            <w:tcW w:w="1194" w:type="dxa"/>
            <w:vMerge w:val="continue"/>
            <w:noWrap w:val="0"/>
            <w:vAlign w:val="center"/>
          </w:tcPr>
          <w:p>
            <w:pPr>
              <w:spacing w:line="240" w:lineRule="auto"/>
              <w:jc w:val="center"/>
              <w:rPr>
                <w:rFonts w:ascii="Times New Roman" w:hAnsi="Times New Roman" w:cs="Times New Roman"/>
                <w:szCs w:val="21"/>
              </w:rPr>
            </w:pPr>
          </w:p>
        </w:tc>
        <w:tc>
          <w:tcPr>
            <w:tcW w:w="2192" w:type="dxa"/>
            <w:noWrap w:val="0"/>
            <w:vAlign w:val="center"/>
          </w:tcPr>
          <w:p>
            <w:pPr>
              <w:spacing w:line="240" w:lineRule="auto"/>
              <w:jc w:val="left"/>
              <w:rPr>
                <w:rFonts w:ascii="Times New Roman" w:hAnsi="Times New Roman" w:cs="Times New Roman"/>
                <w:szCs w:val="21"/>
              </w:rPr>
            </w:pPr>
            <w:r>
              <w:rPr>
                <w:rFonts w:ascii="Times New Roman" w:hAnsi="Times New Roman" w:cs="Times New Roman"/>
                <w:szCs w:val="21"/>
              </w:rPr>
              <w:t>阀门</w:t>
            </w:r>
          </w:p>
        </w:tc>
        <w:tc>
          <w:tcPr>
            <w:tcW w:w="2142"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4"/>
              </w:rPr>
              <w:t>□符合  □不符合</w:t>
            </w:r>
          </w:p>
        </w:tc>
        <w:tc>
          <w:tcPr>
            <w:tcW w:w="1276" w:type="dxa"/>
            <w:noWrap w:val="0"/>
            <w:vAlign w:val="center"/>
          </w:tcPr>
          <w:p>
            <w:pPr>
              <w:spacing w:line="240" w:lineRule="auto"/>
              <w:jc w:val="center"/>
              <w:rPr>
                <w:rFonts w:ascii="Times New Roman" w:hAnsi="Times New Roman" w:cs="Times New Roman"/>
                <w:szCs w:val="21"/>
              </w:rPr>
            </w:pPr>
          </w:p>
        </w:tc>
        <w:tc>
          <w:tcPr>
            <w:tcW w:w="907" w:type="dxa"/>
            <w:noWrap w:val="0"/>
            <w:vAlign w:val="center"/>
          </w:tcPr>
          <w:p>
            <w:pPr>
              <w:spacing w:line="240" w:lineRule="auto"/>
              <w:jc w:val="center"/>
              <w:rPr>
                <w:rFonts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7" w:hRule="atLeast"/>
        </w:trPr>
        <w:tc>
          <w:tcPr>
            <w:tcW w:w="817"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4.3.3</w:t>
            </w:r>
          </w:p>
        </w:tc>
        <w:tc>
          <w:tcPr>
            <w:tcW w:w="1194"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耐久性</w:t>
            </w:r>
          </w:p>
        </w:tc>
        <w:tc>
          <w:tcPr>
            <w:tcW w:w="2192" w:type="dxa"/>
            <w:noWrap w:val="0"/>
            <w:vAlign w:val="center"/>
          </w:tcPr>
          <w:p>
            <w:pPr>
              <w:spacing w:line="240" w:lineRule="auto"/>
              <w:jc w:val="left"/>
              <w:rPr>
                <w:rFonts w:ascii="Times New Roman" w:hAnsi="Times New Roman" w:cs="Times New Roman"/>
                <w:szCs w:val="21"/>
              </w:rPr>
            </w:pPr>
            <w:r>
              <w:rPr>
                <w:rFonts w:ascii="Times New Roman" w:hAnsi="Times New Roman" w:cs="Times New Roman"/>
                <w:szCs w:val="21"/>
              </w:rPr>
              <w:t>混凝土结构构件</w:t>
            </w:r>
          </w:p>
        </w:tc>
        <w:tc>
          <w:tcPr>
            <w:tcW w:w="2142"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4"/>
              </w:rPr>
              <w:t>□符合  □不符合</w:t>
            </w:r>
          </w:p>
        </w:tc>
        <w:tc>
          <w:tcPr>
            <w:tcW w:w="1276" w:type="dxa"/>
            <w:noWrap w:val="0"/>
            <w:vAlign w:val="center"/>
          </w:tcPr>
          <w:p>
            <w:pPr>
              <w:spacing w:line="240" w:lineRule="auto"/>
              <w:jc w:val="center"/>
              <w:rPr>
                <w:rFonts w:ascii="Times New Roman" w:hAnsi="Times New Roman" w:cs="Times New Roman"/>
                <w:szCs w:val="21"/>
              </w:rPr>
            </w:pPr>
          </w:p>
        </w:tc>
        <w:tc>
          <w:tcPr>
            <w:tcW w:w="907" w:type="dxa"/>
            <w:noWrap w:val="0"/>
            <w:vAlign w:val="center"/>
          </w:tcPr>
          <w:p>
            <w:pPr>
              <w:spacing w:line="240" w:lineRule="auto"/>
              <w:jc w:val="center"/>
              <w:rPr>
                <w:rFonts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7" w:hRule="atLeast"/>
        </w:trPr>
        <w:tc>
          <w:tcPr>
            <w:tcW w:w="817"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4.3.4</w:t>
            </w:r>
          </w:p>
        </w:tc>
        <w:tc>
          <w:tcPr>
            <w:tcW w:w="1194"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耐久性</w:t>
            </w:r>
          </w:p>
        </w:tc>
        <w:tc>
          <w:tcPr>
            <w:tcW w:w="2192" w:type="dxa"/>
            <w:noWrap w:val="0"/>
            <w:vAlign w:val="center"/>
          </w:tcPr>
          <w:p>
            <w:pPr>
              <w:spacing w:line="240" w:lineRule="auto"/>
              <w:jc w:val="left"/>
              <w:rPr>
                <w:rFonts w:ascii="Times New Roman" w:hAnsi="Times New Roman" w:cs="Times New Roman"/>
                <w:szCs w:val="21"/>
              </w:rPr>
            </w:pPr>
            <w:r>
              <w:rPr>
                <w:rFonts w:ascii="Times New Roman" w:hAnsi="Times New Roman" w:cs="Times New Roman"/>
                <w:szCs w:val="21"/>
              </w:rPr>
              <w:t>钢结构构件</w:t>
            </w:r>
          </w:p>
        </w:tc>
        <w:tc>
          <w:tcPr>
            <w:tcW w:w="2142"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4"/>
              </w:rPr>
              <w:t>□符合  □不符合</w:t>
            </w:r>
          </w:p>
        </w:tc>
        <w:tc>
          <w:tcPr>
            <w:tcW w:w="1276" w:type="dxa"/>
            <w:noWrap w:val="0"/>
            <w:vAlign w:val="center"/>
          </w:tcPr>
          <w:p>
            <w:pPr>
              <w:spacing w:line="240" w:lineRule="auto"/>
              <w:jc w:val="center"/>
              <w:rPr>
                <w:rFonts w:ascii="Times New Roman" w:hAnsi="Times New Roman" w:cs="Times New Roman"/>
                <w:szCs w:val="21"/>
              </w:rPr>
            </w:pPr>
          </w:p>
        </w:tc>
        <w:tc>
          <w:tcPr>
            <w:tcW w:w="907" w:type="dxa"/>
            <w:noWrap w:val="0"/>
            <w:vAlign w:val="center"/>
          </w:tcPr>
          <w:p>
            <w:pPr>
              <w:spacing w:line="240" w:lineRule="auto"/>
              <w:jc w:val="center"/>
              <w:rPr>
                <w:rFonts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7" w:hRule="atLeast"/>
        </w:trPr>
        <w:tc>
          <w:tcPr>
            <w:tcW w:w="817"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4.3.5</w:t>
            </w:r>
          </w:p>
        </w:tc>
        <w:tc>
          <w:tcPr>
            <w:tcW w:w="1194"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耐久性</w:t>
            </w:r>
          </w:p>
        </w:tc>
        <w:tc>
          <w:tcPr>
            <w:tcW w:w="2192" w:type="dxa"/>
            <w:noWrap w:val="0"/>
            <w:vAlign w:val="center"/>
          </w:tcPr>
          <w:p>
            <w:pPr>
              <w:spacing w:line="240" w:lineRule="auto"/>
              <w:jc w:val="left"/>
              <w:rPr>
                <w:rFonts w:ascii="Times New Roman" w:hAnsi="Times New Roman" w:cs="Times New Roman"/>
                <w:szCs w:val="21"/>
              </w:rPr>
            </w:pPr>
            <w:r>
              <w:rPr>
                <w:rFonts w:ascii="Times New Roman" w:hAnsi="Times New Roman" w:cs="Times New Roman"/>
                <w:szCs w:val="21"/>
              </w:rPr>
              <w:t>木结构构件</w:t>
            </w:r>
          </w:p>
        </w:tc>
        <w:tc>
          <w:tcPr>
            <w:tcW w:w="2142"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4"/>
              </w:rPr>
              <w:t>□符合  □不符合</w:t>
            </w:r>
          </w:p>
        </w:tc>
        <w:tc>
          <w:tcPr>
            <w:tcW w:w="1276" w:type="dxa"/>
            <w:noWrap w:val="0"/>
            <w:vAlign w:val="center"/>
          </w:tcPr>
          <w:p>
            <w:pPr>
              <w:spacing w:line="240" w:lineRule="auto"/>
              <w:jc w:val="center"/>
              <w:rPr>
                <w:rFonts w:ascii="Times New Roman" w:hAnsi="Times New Roman" w:cs="Times New Roman"/>
                <w:szCs w:val="21"/>
              </w:rPr>
            </w:pPr>
          </w:p>
        </w:tc>
        <w:tc>
          <w:tcPr>
            <w:tcW w:w="907" w:type="dxa"/>
            <w:noWrap w:val="0"/>
            <w:vAlign w:val="center"/>
          </w:tcPr>
          <w:p>
            <w:pPr>
              <w:spacing w:line="240" w:lineRule="auto"/>
              <w:jc w:val="center"/>
              <w:rPr>
                <w:rFonts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7" w:hRule="atLeast"/>
        </w:trPr>
        <w:tc>
          <w:tcPr>
            <w:tcW w:w="817" w:type="dxa"/>
            <w:vMerge w:val="restart"/>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4.3.6</w:t>
            </w:r>
          </w:p>
        </w:tc>
        <w:tc>
          <w:tcPr>
            <w:tcW w:w="1194" w:type="dxa"/>
            <w:vMerge w:val="restart"/>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装饰装修材料</w:t>
            </w:r>
          </w:p>
        </w:tc>
        <w:tc>
          <w:tcPr>
            <w:tcW w:w="2192" w:type="dxa"/>
            <w:noWrap w:val="0"/>
            <w:vAlign w:val="center"/>
          </w:tcPr>
          <w:p>
            <w:pPr>
              <w:spacing w:line="240" w:lineRule="auto"/>
              <w:jc w:val="left"/>
              <w:rPr>
                <w:rFonts w:ascii="Times New Roman" w:hAnsi="Times New Roman" w:cs="Times New Roman"/>
                <w:szCs w:val="21"/>
              </w:rPr>
            </w:pPr>
            <w:r>
              <w:rPr>
                <w:rFonts w:ascii="Times New Roman" w:hAnsi="Times New Roman" w:cs="Times New Roman"/>
                <w:szCs w:val="21"/>
              </w:rPr>
              <w:t>耐久性</w:t>
            </w:r>
          </w:p>
        </w:tc>
        <w:tc>
          <w:tcPr>
            <w:tcW w:w="2142"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4"/>
              </w:rPr>
              <w:t>□符合  □不符合</w:t>
            </w:r>
          </w:p>
        </w:tc>
        <w:tc>
          <w:tcPr>
            <w:tcW w:w="1276" w:type="dxa"/>
            <w:noWrap w:val="0"/>
            <w:vAlign w:val="center"/>
          </w:tcPr>
          <w:p>
            <w:pPr>
              <w:spacing w:line="240" w:lineRule="auto"/>
              <w:jc w:val="center"/>
              <w:rPr>
                <w:rFonts w:ascii="Times New Roman" w:hAnsi="Times New Roman" w:cs="Times New Roman"/>
                <w:szCs w:val="21"/>
              </w:rPr>
            </w:pPr>
          </w:p>
        </w:tc>
        <w:tc>
          <w:tcPr>
            <w:tcW w:w="907" w:type="dxa"/>
            <w:noWrap w:val="0"/>
            <w:vAlign w:val="center"/>
          </w:tcPr>
          <w:p>
            <w:pPr>
              <w:spacing w:line="240" w:lineRule="auto"/>
              <w:jc w:val="center"/>
              <w:rPr>
                <w:rFonts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7" w:hRule="atLeast"/>
        </w:trPr>
        <w:tc>
          <w:tcPr>
            <w:tcW w:w="817" w:type="dxa"/>
            <w:vMerge w:val="continue"/>
            <w:noWrap w:val="0"/>
            <w:vAlign w:val="center"/>
          </w:tcPr>
          <w:p>
            <w:pPr>
              <w:spacing w:line="240" w:lineRule="auto"/>
              <w:jc w:val="center"/>
              <w:rPr>
                <w:rFonts w:ascii="Times New Roman" w:hAnsi="Times New Roman" w:cs="Times New Roman"/>
                <w:szCs w:val="21"/>
              </w:rPr>
            </w:pPr>
          </w:p>
        </w:tc>
        <w:tc>
          <w:tcPr>
            <w:tcW w:w="1194" w:type="dxa"/>
            <w:vMerge w:val="continue"/>
            <w:noWrap w:val="0"/>
            <w:vAlign w:val="center"/>
          </w:tcPr>
          <w:p>
            <w:pPr>
              <w:spacing w:line="240" w:lineRule="auto"/>
              <w:jc w:val="center"/>
              <w:rPr>
                <w:rFonts w:ascii="Times New Roman" w:hAnsi="Times New Roman" w:cs="Times New Roman"/>
                <w:szCs w:val="21"/>
              </w:rPr>
            </w:pPr>
          </w:p>
        </w:tc>
        <w:tc>
          <w:tcPr>
            <w:tcW w:w="2192" w:type="dxa"/>
            <w:noWrap w:val="0"/>
            <w:vAlign w:val="center"/>
          </w:tcPr>
          <w:p>
            <w:pPr>
              <w:spacing w:line="240" w:lineRule="auto"/>
              <w:jc w:val="left"/>
              <w:rPr>
                <w:rFonts w:ascii="Times New Roman" w:hAnsi="Times New Roman" w:cs="Times New Roman"/>
                <w:szCs w:val="21"/>
              </w:rPr>
            </w:pPr>
            <w:r>
              <w:rPr>
                <w:rFonts w:ascii="Times New Roman" w:hAnsi="Times New Roman" w:cs="Times New Roman"/>
                <w:szCs w:val="21"/>
              </w:rPr>
              <w:t>易维护性</w:t>
            </w:r>
          </w:p>
        </w:tc>
        <w:tc>
          <w:tcPr>
            <w:tcW w:w="2142"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4"/>
              </w:rPr>
              <w:t>□符合  □不符合</w:t>
            </w:r>
          </w:p>
        </w:tc>
        <w:tc>
          <w:tcPr>
            <w:tcW w:w="1276" w:type="dxa"/>
            <w:noWrap w:val="0"/>
            <w:vAlign w:val="center"/>
          </w:tcPr>
          <w:p>
            <w:pPr>
              <w:spacing w:line="240" w:lineRule="auto"/>
              <w:jc w:val="center"/>
              <w:rPr>
                <w:rFonts w:ascii="Times New Roman" w:hAnsi="Times New Roman" w:cs="Times New Roman"/>
                <w:szCs w:val="21"/>
              </w:rPr>
            </w:pPr>
          </w:p>
        </w:tc>
        <w:tc>
          <w:tcPr>
            <w:tcW w:w="907" w:type="dxa"/>
            <w:noWrap w:val="0"/>
            <w:vAlign w:val="center"/>
          </w:tcPr>
          <w:p>
            <w:pPr>
              <w:spacing w:line="240" w:lineRule="auto"/>
              <w:jc w:val="center"/>
              <w:rPr>
                <w:rFonts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7" w:hRule="atLeast"/>
        </w:trPr>
        <w:tc>
          <w:tcPr>
            <w:tcW w:w="817" w:type="dxa"/>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5.4.3</w:t>
            </w:r>
          </w:p>
        </w:tc>
        <w:tc>
          <w:tcPr>
            <w:tcW w:w="1194" w:type="dxa"/>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房间负压</w:t>
            </w:r>
          </w:p>
        </w:tc>
        <w:tc>
          <w:tcPr>
            <w:tcW w:w="2192" w:type="dxa"/>
            <w:noWrap w:val="0"/>
            <w:vAlign w:val="center"/>
          </w:tcPr>
          <w:p>
            <w:pPr>
              <w:widowControl/>
              <w:spacing w:line="240" w:lineRule="auto"/>
              <w:jc w:val="both"/>
              <w:rPr>
                <w:rFonts w:ascii="Times New Roman" w:hAnsi="Times New Roman" w:cs="Times New Roman"/>
                <w:szCs w:val="21"/>
                <w:lang w:bidi="ar"/>
              </w:rPr>
            </w:pPr>
            <w:r>
              <w:rPr>
                <w:rFonts w:ascii="Times New Roman" w:hAnsi="Times New Roman" w:cs="Times New Roman"/>
                <w:szCs w:val="21"/>
                <w:lang w:bidi="ar"/>
              </w:rPr>
              <w:t>污染物释放房间室内负压</w:t>
            </w:r>
          </w:p>
        </w:tc>
        <w:tc>
          <w:tcPr>
            <w:tcW w:w="2142"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4"/>
              </w:rPr>
              <w:t>□符合  □不符合</w:t>
            </w:r>
          </w:p>
        </w:tc>
        <w:tc>
          <w:tcPr>
            <w:tcW w:w="1276" w:type="dxa"/>
            <w:noWrap w:val="0"/>
            <w:vAlign w:val="center"/>
          </w:tcPr>
          <w:p>
            <w:pPr>
              <w:spacing w:line="240" w:lineRule="auto"/>
              <w:jc w:val="center"/>
              <w:rPr>
                <w:rFonts w:ascii="Times New Roman" w:hAnsi="Times New Roman" w:cs="Times New Roman"/>
                <w:szCs w:val="21"/>
              </w:rPr>
            </w:pPr>
          </w:p>
        </w:tc>
        <w:tc>
          <w:tcPr>
            <w:tcW w:w="907" w:type="dxa"/>
            <w:noWrap w:val="0"/>
            <w:vAlign w:val="center"/>
          </w:tcPr>
          <w:p>
            <w:pPr>
              <w:spacing w:line="240" w:lineRule="auto"/>
              <w:jc w:val="center"/>
              <w:rPr>
                <w:rFonts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7" w:hRule="atLeast"/>
        </w:trPr>
        <w:tc>
          <w:tcPr>
            <w:tcW w:w="817" w:type="dxa"/>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5.4.4</w:t>
            </w:r>
          </w:p>
        </w:tc>
        <w:tc>
          <w:tcPr>
            <w:tcW w:w="1194" w:type="dxa"/>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室内空气监控系统</w:t>
            </w:r>
          </w:p>
        </w:tc>
        <w:tc>
          <w:tcPr>
            <w:tcW w:w="2192" w:type="dxa"/>
            <w:noWrap w:val="0"/>
            <w:vAlign w:val="center"/>
          </w:tcPr>
          <w:p>
            <w:pPr>
              <w:widowControl/>
              <w:spacing w:line="240" w:lineRule="auto"/>
              <w:jc w:val="both"/>
              <w:rPr>
                <w:rFonts w:ascii="Times New Roman" w:hAnsi="Times New Roman" w:cs="Times New Roman"/>
                <w:szCs w:val="21"/>
                <w:lang w:bidi="ar"/>
              </w:rPr>
            </w:pPr>
            <w:r>
              <w:rPr>
                <w:rFonts w:ascii="Times New Roman" w:hAnsi="Times New Roman" w:cs="Times New Roman"/>
                <w:szCs w:val="21"/>
                <w:lang w:bidi="ar"/>
              </w:rPr>
              <w:t>室内空气质量监控系统功能</w:t>
            </w:r>
          </w:p>
        </w:tc>
        <w:tc>
          <w:tcPr>
            <w:tcW w:w="2142"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4"/>
              </w:rPr>
              <w:t>□符合  □不符合</w:t>
            </w:r>
          </w:p>
        </w:tc>
        <w:tc>
          <w:tcPr>
            <w:tcW w:w="1276" w:type="dxa"/>
            <w:noWrap w:val="0"/>
            <w:vAlign w:val="center"/>
          </w:tcPr>
          <w:p>
            <w:pPr>
              <w:spacing w:line="240" w:lineRule="auto"/>
              <w:jc w:val="center"/>
              <w:rPr>
                <w:rFonts w:ascii="Times New Roman" w:hAnsi="Times New Roman" w:cs="Times New Roman"/>
                <w:szCs w:val="21"/>
              </w:rPr>
            </w:pPr>
          </w:p>
        </w:tc>
        <w:tc>
          <w:tcPr>
            <w:tcW w:w="907" w:type="dxa"/>
            <w:noWrap w:val="0"/>
            <w:vAlign w:val="center"/>
          </w:tcPr>
          <w:p>
            <w:pPr>
              <w:spacing w:line="240" w:lineRule="auto"/>
              <w:jc w:val="center"/>
              <w:rPr>
                <w:rFonts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7" w:hRule="atLeast"/>
        </w:trPr>
        <w:tc>
          <w:tcPr>
            <w:tcW w:w="817" w:type="dxa"/>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5.4.5</w:t>
            </w:r>
          </w:p>
        </w:tc>
        <w:tc>
          <w:tcPr>
            <w:tcW w:w="1194" w:type="dxa"/>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CO超标联动</w:t>
            </w:r>
          </w:p>
        </w:tc>
        <w:tc>
          <w:tcPr>
            <w:tcW w:w="2192" w:type="dxa"/>
            <w:noWrap w:val="0"/>
            <w:vAlign w:val="center"/>
          </w:tcPr>
          <w:p>
            <w:pPr>
              <w:widowControl/>
              <w:spacing w:line="240" w:lineRule="auto"/>
              <w:jc w:val="both"/>
              <w:rPr>
                <w:rFonts w:ascii="Times New Roman" w:hAnsi="Times New Roman" w:cs="Times New Roman"/>
                <w:szCs w:val="21"/>
                <w:lang w:bidi="ar"/>
              </w:rPr>
            </w:pPr>
            <w:r>
              <w:rPr>
                <w:rFonts w:ascii="Times New Roman" w:hAnsi="Times New Roman" w:cs="Times New Roman"/>
                <w:szCs w:val="21"/>
                <w:lang w:bidi="ar"/>
              </w:rPr>
              <w:t>地下车库CO超标联动控制功能</w:t>
            </w:r>
          </w:p>
        </w:tc>
        <w:tc>
          <w:tcPr>
            <w:tcW w:w="2142"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4"/>
              </w:rPr>
              <w:t>□符合  □不符合</w:t>
            </w:r>
          </w:p>
        </w:tc>
        <w:tc>
          <w:tcPr>
            <w:tcW w:w="1276" w:type="dxa"/>
            <w:noWrap w:val="0"/>
            <w:vAlign w:val="center"/>
          </w:tcPr>
          <w:p>
            <w:pPr>
              <w:spacing w:line="240" w:lineRule="auto"/>
              <w:jc w:val="center"/>
              <w:rPr>
                <w:rFonts w:ascii="Times New Roman" w:hAnsi="Times New Roman" w:cs="Times New Roman"/>
                <w:szCs w:val="21"/>
              </w:rPr>
            </w:pPr>
          </w:p>
        </w:tc>
        <w:tc>
          <w:tcPr>
            <w:tcW w:w="907" w:type="dxa"/>
            <w:noWrap w:val="0"/>
            <w:vAlign w:val="center"/>
          </w:tcPr>
          <w:p>
            <w:pPr>
              <w:spacing w:line="240" w:lineRule="auto"/>
              <w:jc w:val="center"/>
              <w:rPr>
                <w:rFonts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7" w:hRule="atLeast"/>
        </w:trPr>
        <w:tc>
          <w:tcPr>
            <w:tcW w:w="817"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6.3.1</w:t>
            </w:r>
          </w:p>
        </w:tc>
        <w:tc>
          <w:tcPr>
            <w:tcW w:w="1194"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远传计量系统、能源管理系统</w:t>
            </w:r>
          </w:p>
        </w:tc>
        <w:tc>
          <w:tcPr>
            <w:tcW w:w="2192" w:type="dxa"/>
            <w:noWrap w:val="0"/>
            <w:vAlign w:val="center"/>
          </w:tcPr>
          <w:p>
            <w:pPr>
              <w:spacing w:line="240" w:lineRule="auto"/>
              <w:jc w:val="left"/>
              <w:rPr>
                <w:rFonts w:ascii="Times New Roman" w:hAnsi="Times New Roman" w:cs="Times New Roman"/>
                <w:szCs w:val="21"/>
              </w:rPr>
            </w:pPr>
            <w:r>
              <w:rPr>
                <w:rFonts w:ascii="Times New Roman" w:hAnsi="Times New Roman" w:cs="Times New Roman"/>
                <w:szCs w:val="21"/>
              </w:rPr>
              <w:t>远传计量系统、能源管理系统</w:t>
            </w:r>
          </w:p>
        </w:tc>
        <w:tc>
          <w:tcPr>
            <w:tcW w:w="2142"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4"/>
              </w:rPr>
              <w:t>□符合  □不符合</w:t>
            </w:r>
          </w:p>
        </w:tc>
        <w:tc>
          <w:tcPr>
            <w:tcW w:w="1276" w:type="dxa"/>
            <w:noWrap w:val="0"/>
            <w:vAlign w:val="center"/>
          </w:tcPr>
          <w:p>
            <w:pPr>
              <w:spacing w:line="240" w:lineRule="auto"/>
              <w:jc w:val="center"/>
              <w:rPr>
                <w:rFonts w:ascii="Times New Roman" w:hAnsi="Times New Roman" w:cs="Times New Roman"/>
                <w:szCs w:val="21"/>
              </w:rPr>
            </w:pPr>
          </w:p>
        </w:tc>
        <w:tc>
          <w:tcPr>
            <w:tcW w:w="907" w:type="dxa"/>
            <w:noWrap w:val="0"/>
            <w:vAlign w:val="center"/>
          </w:tcPr>
          <w:p>
            <w:pPr>
              <w:spacing w:line="240" w:lineRule="auto"/>
              <w:jc w:val="center"/>
              <w:rPr>
                <w:rFonts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7" w:hRule="atLeast"/>
        </w:trPr>
        <w:tc>
          <w:tcPr>
            <w:tcW w:w="817"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6.3.2</w:t>
            </w:r>
          </w:p>
        </w:tc>
        <w:tc>
          <w:tcPr>
            <w:tcW w:w="1194"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空气质量监测系统</w:t>
            </w:r>
          </w:p>
        </w:tc>
        <w:tc>
          <w:tcPr>
            <w:tcW w:w="2192" w:type="dxa"/>
            <w:noWrap w:val="0"/>
            <w:vAlign w:val="center"/>
          </w:tcPr>
          <w:p>
            <w:pPr>
              <w:spacing w:line="240" w:lineRule="auto"/>
              <w:jc w:val="left"/>
              <w:rPr>
                <w:rFonts w:ascii="Times New Roman" w:hAnsi="Times New Roman" w:cs="Times New Roman"/>
                <w:szCs w:val="21"/>
              </w:rPr>
            </w:pPr>
            <w:r>
              <w:rPr>
                <w:rFonts w:ascii="Times New Roman" w:hAnsi="Times New Roman" w:cs="Times New Roman"/>
                <w:szCs w:val="21"/>
              </w:rPr>
              <w:t xml:space="preserve"> PM10、PM2.5、CO2 浓度等的监测功能</w:t>
            </w:r>
          </w:p>
        </w:tc>
        <w:tc>
          <w:tcPr>
            <w:tcW w:w="2142"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4"/>
              </w:rPr>
              <w:t>□符合  □不符合</w:t>
            </w:r>
          </w:p>
        </w:tc>
        <w:tc>
          <w:tcPr>
            <w:tcW w:w="1276" w:type="dxa"/>
            <w:noWrap w:val="0"/>
            <w:vAlign w:val="center"/>
          </w:tcPr>
          <w:p>
            <w:pPr>
              <w:spacing w:line="240" w:lineRule="auto"/>
              <w:jc w:val="center"/>
              <w:rPr>
                <w:rFonts w:ascii="Times New Roman" w:hAnsi="Times New Roman" w:cs="Times New Roman"/>
                <w:szCs w:val="21"/>
              </w:rPr>
            </w:pPr>
          </w:p>
        </w:tc>
        <w:tc>
          <w:tcPr>
            <w:tcW w:w="907" w:type="dxa"/>
            <w:noWrap w:val="0"/>
            <w:vAlign w:val="center"/>
          </w:tcPr>
          <w:p>
            <w:pPr>
              <w:spacing w:line="240" w:lineRule="auto"/>
              <w:jc w:val="center"/>
              <w:rPr>
                <w:rFonts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7" w:hRule="atLeast"/>
        </w:trPr>
        <w:tc>
          <w:tcPr>
            <w:tcW w:w="817"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6.3.3</w:t>
            </w:r>
          </w:p>
        </w:tc>
        <w:tc>
          <w:tcPr>
            <w:tcW w:w="1194"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用水远传、水质在线监测</w:t>
            </w:r>
          </w:p>
        </w:tc>
        <w:tc>
          <w:tcPr>
            <w:tcW w:w="2192" w:type="dxa"/>
            <w:noWrap w:val="0"/>
            <w:vAlign w:val="center"/>
          </w:tcPr>
          <w:p>
            <w:pPr>
              <w:spacing w:line="240" w:lineRule="auto"/>
              <w:jc w:val="left"/>
              <w:rPr>
                <w:rFonts w:ascii="Times New Roman" w:hAnsi="Times New Roman" w:cs="Times New Roman"/>
                <w:szCs w:val="21"/>
              </w:rPr>
            </w:pPr>
            <w:r>
              <w:rPr>
                <w:rFonts w:ascii="Times New Roman" w:hAnsi="Times New Roman" w:cs="Times New Roman"/>
                <w:szCs w:val="21"/>
              </w:rPr>
              <w:t>用水远传、水质在线监测系统运行</w:t>
            </w:r>
          </w:p>
        </w:tc>
        <w:tc>
          <w:tcPr>
            <w:tcW w:w="2142"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4"/>
              </w:rPr>
              <w:t>□符合  □不符合</w:t>
            </w:r>
          </w:p>
        </w:tc>
        <w:tc>
          <w:tcPr>
            <w:tcW w:w="1276" w:type="dxa"/>
            <w:noWrap w:val="0"/>
            <w:vAlign w:val="center"/>
          </w:tcPr>
          <w:p>
            <w:pPr>
              <w:spacing w:line="240" w:lineRule="auto"/>
              <w:jc w:val="center"/>
              <w:rPr>
                <w:rFonts w:ascii="Times New Roman" w:hAnsi="Times New Roman" w:cs="Times New Roman"/>
                <w:szCs w:val="21"/>
              </w:rPr>
            </w:pPr>
          </w:p>
        </w:tc>
        <w:tc>
          <w:tcPr>
            <w:tcW w:w="907" w:type="dxa"/>
            <w:noWrap w:val="0"/>
            <w:vAlign w:val="center"/>
          </w:tcPr>
          <w:p>
            <w:pPr>
              <w:spacing w:line="240" w:lineRule="auto"/>
              <w:jc w:val="center"/>
              <w:rPr>
                <w:rFonts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7" w:hRule="atLeast"/>
        </w:trPr>
        <w:tc>
          <w:tcPr>
            <w:tcW w:w="817"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6.3.4</w:t>
            </w:r>
          </w:p>
        </w:tc>
        <w:tc>
          <w:tcPr>
            <w:tcW w:w="1194"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智能化系统</w:t>
            </w:r>
          </w:p>
        </w:tc>
        <w:tc>
          <w:tcPr>
            <w:tcW w:w="2192" w:type="dxa"/>
            <w:noWrap w:val="0"/>
            <w:vAlign w:val="center"/>
          </w:tcPr>
          <w:p>
            <w:pPr>
              <w:spacing w:line="240" w:lineRule="auto"/>
              <w:jc w:val="left"/>
              <w:rPr>
                <w:rFonts w:ascii="Times New Roman" w:hAnsi="Times New Roman" w:cs="Times New Roman"/>
                <w:szCs w:val="21"/>
              </w:rPr>
            </w:pPr>
            <w:r>
              <w:rPr>
                <w:rFonts w:ascii="Times New Roman" w:hAnsi="Times New Roman" w:cs="Times New Roman"/>
                <w:szCs w:val="21"/>
              </w:rPr>
              <w:t>智能化系统运行</w:t>
            </w:r>
          </w:p>
        </w:tc>
        <w:tc>
          <w:tcPr>
            <w:tcW w:w="2142"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4"/>
              </w:rPr>
              <w:t>□符合  □不符合</w:t>
            </w:r>
          </w:p>
        </w:tc>
        <w:tc>
          <w:tcPr>
            <w:tcW w:w="1276" w:type="dxa"/>
            <w:noWrap w:val="0"/>
            <w:vAlign w:val="center"/>
          </w:tcPr>
          <w:p>
            <w:pPr>
              <w:spacing w:line="240" w:lineRule="auto"/>
              <w:jc w:val="center"/>
              <w:rPr>
                <w:rFonts w:ascii="Times New Roman" w:hAnsi="Times New Roman" w:cs="Times New Roman"/>
                <w:szCs w:val="21"/>
              </w:rPr>
            </w:pPr>
          </w:p>
        </w:tc>
        <w:tc>
          <w:tcPr>
            <w:tcW w:w="907" w:type="dxa"/>
            <w:noWrap w:val="0"/>
            <w:vAlign w:val="center"/>
          </w:tcPr>
          <w:p>
            <w:pPr>
              <w:spacing w:line="240" w:lineRule="auto"/>
              <w:jc w:val="center"/>
              <w:rPr>
                <w:rFonts w:ascii="Times New Roman" w:hAnsi="Times New Roman" w:cs="Times New Roman"/>
                <w:szCs w:val="21"/>
              </w:rPr>
            </w:pPr>
          </w:p>
        </w:tc>
      </w:tr>
    </w:tbl>
    <w:p>
      <w:pPr>
        <w:spacing w:line="240" w:lineRule="auto"/>
        <w:jc w:val="right"/>
        <w:rPr>
          <w:rFonts w:ascii="Times New Roman" w:hAnsi="Times New Roman" w:cs="Times New Roman"/>
          <w:szCs w:val="24"/>
          <w:lang w:val="zh-CN"/>
        </w:rPr>
      </w:pPr>
      <w:r>
        <w:rPr>
          <w:rFonts w:ascii="Times New Roman" w:hAnsi="Times New Roman" w:eastAsia="黑体" w:cs="Times New Roman"/>
          <w:szCs w:val="24"/>
          <w:lang w:val="zh-CN"/>
        </w:rPr>
        <w:t>续表A.0.1-1</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194"/>
        <w:gridCol w:w="2192"/>
        <w:gridCol w:w="2142"/>
        <w:gridCol w:w="1276"/>
        <w:gridCol w:w="9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817"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条文号</w:t>
            </w:r>
          </w:p>
        </w:tc>
        <w:tc>
          <w:tcPr>
            <w:tcW w:w="1194"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检验参数</w:t>
            </w:r>
          </w:p>
        </w:tc>
        <w:tc>
          <w:tcPr>
            <w:tcW w:w="2192"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检验内容</w:t>
            </w:r>
          </w:p>
        </w:tc>
        <w:tc>
          <w:tcPr>
            <w:tcW w:w="2142"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 xml:space="preserve">检验结论 </w:t>
            </w:r>
          </w:p>
        </w:tc>
        <w:tc>
          <w:tcPr>
            <w:tcW w:w="1276"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标准或设计要求</w:t>
            </w:r>
          </w:p>
        </w:tc>
        <w:tc>
          <w:tcPr>
            <w:tcW w:w="907"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17" w:type="dxa"/>
            <w:vMerge w:val="restart"/>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7.1.5</w:t>
            </w:r>
          </w:p>
        </w:tc>
        <w:tc>
          <w:tcPr>
            <w:tcW w:w="1194" w:type="dxa"/>
            <w:vMerge w:val="restart"/>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电梯和自动扶梯能效</w:t>
            </w:r>
          </w:p>
        </w:tc>
        <w:tc>
          <w:tcPr>
            <w:tcW w:w="2192" w:type="dxa"/>
            <w:noWrap w:val="0"/>
            <w:vAlign w:val="center"/>
          </w:tcPr>
          <w:p>
            <w:pPr>
              <w:spacing w:line="240" w:lineRule="auto"/>
              <w:jc w:val="both"/>
              <w:rPr>
                <w:rFonts w:ascii="Times New Roman" w:hAnsi="Times New Roman" w:cs="Times New Roman"/>
                <w:szCs w:val="21"/>
              </w:rPr>
            </w:pPr>
            <w:r>
              <w:rPr>
                <w:rFonts w:ascii="Times New Roman" w:hAnsi="Times New Roman" w:cs="Times New Roman"/>
                <w:szCs w:val="21"/>
              </w:rPr>
              <w:t>电梯能效</w:t>
            </w:r>
          </w:p>
        </w:tc>
        <w:tc>
          <w:tcPr>
            <w:tcW w:w="2142"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4"/>
              </w:rPr>
              <w:t>□符合  □不符合</w:t>
            </w:r>
          </w:p>
        </w:tc>
        <w:tc>
          <w:tcPr>
            <w:tcW w:w="1276" w:type="dxa"/>
            <w:noWrap w:val="0"/>
            <w:vAlign w:val="center"/>
          </w:tcPr>
          <w:p>
            <w:pPr>
              <w:spacing w:line="240" w:lineRule="auto"/>
              <w:jc w:val="both"/>
              <w:rPr>
                <w:rFonts w:ascii="Times New Roman" w:hAnsi="Times New Roman" w:cs="Times New Roman"/>
                <w:szCs w:val="21"/>
              </w:rPr>
            </w:pPr>
          </w:p>
        </w:tc>
        <w:tc>
          <w:tcPr>
            <w:tcW w:w="907" w:type="dxa"/>
            <w:noWrap w:val="0"/>
            <w:vAlign w:val="center"/>
          </w:tcPr>
          <w:p>
            <w:pPr>
              <w:spacing w:line="240" w:lineRule="auto"/>
              <w:jc w:val="both"/>
              <w:rPr>
                <w:rFonts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17" w:type="dxa"/>
            <w:vMerge w:val="continue"/>
            <w:noWrap w:val="0"/>
            <w:vAlign w:val="center"/>
          </w:tcPr>
          <w:p>
            <w:pPr>
              <w:spacing w:line="240" w:lineRule="auto"/>
              <w:jc w:val="center"/>
              <w:rPr>
                <w:rFonts w:ascii="Times New Roman" w:hAnsi="Times New Roman" w:cs="Times New Roman"/>
                <w:szCs w:val="21"/>
              </w:rPr>
            </w:pPr>
          </w:p>
        </w:tc>
        <w:tc>
          <w:tcPr>
            <w:tcW w:w="1194" w:type="dxa"/>
            <w:vMerge w:val="continue"/>
            <w:noWrap w:val="0"/>
            <w:vAlign w:val="center"/>
          </w:tcPr>
          <w:p>
            <w:pPr>
              <w:spacing w:line="240" w:lineRule="auto"/>
              <w:jc w:val="center"/>
              <w:rPr>
                <w:rFonts w:ascii="Times New Roman" w:hAnsi="Times New Roman" w:cs="Times New Roman"/>
                <w:szCs w:val="21"/>
              </w:rPr>
            </w:pPr>
          </w:p>
        </w:tc>
        <w:tc>
          <w:tcPr>
            <w:tcW w:w="2192" w:type="dxa"/>
            <w:noWrap w:val="0"/>
            <w:vAlign w:val="center"/>
          </w:tcPr>
          <w:p>
            <w:pPr>
              <w:spacing w:line="240" w:lineRule="auto"/>
              <w:jc w:val="both"/>
              <w:rPr>
                <w:rFonts w:ascii="Times New Roman" w:hAnsi="Times New Roman" w:cs="Times New Roman"/>
                <w:szCs w:val="21"/>
              </w:rPr>
            </w:pPr>
            <w:r>
              <w:rPr>
                <w:rFonts w:ascii="Times New Roman" w:hAnsi="Times New Roman" w:cs="Times New Roman"/>
                <w:szCs w:val="21"/>
              </w:rPr>
              <w:t>自动扶梯能效</w:t>
            </w:r>
          </w:p>
        </w:tc>
        <w:tc>
          <w:tcPr>
            <w:tcW w:w="2142" w:type="dxa"/>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□符合  □不符合</w:t>
            </w:r>
          </w:p>
        </w:tc>
        <w:tc>
          <w:tcPr>
            <w:tcW w:w="1276" w:type="dxa"/>
            <w:noWrap w:val="0"/>
            <w:vAlign w:val="center"/>
          </w:tcPr>
          <w:p>
            <w:pPr>
              <w:spacing w:line="240" w:lineRule="auto"/>
              <w:jc w:val="both"/>
              <w:rPr>
                <w:rFonts w:ascii="Times New Roman" w:hAnsi="Times New Roman" w:cs="Times New Roman"/>
                <w:szCs w:val="21"/>
              </w:rPr>
            </w:pPr>
          </w:p>
        </w:tc>
        <w:tc>
          <w:tcPr>
            <w:tcW w:w="907" w:type="dxa"/>
            <w:noWrap w:val="0"/>
            <w:vAlign w:val="center"/>
          </w:tcPr>
          <w:p>
            <w:pPr>
              <w:spacing w:line="240" w:lineRule="auto"/>
              <w:jc w:val="both"/>
              <w:rPr>
                <w:rFonts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17" w:type="dxa"/>
            <w:vMerge w:val="restart"/>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7.1.8</w:t>
            </w:r>
          </w:p>
        </w:tc>
        <w:tc>
          <w:tcPr>
            <w:tcW w:w="1194" w:type="dxa"/>
            <w:vMerge w:val="restart"/>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空调冷（热）源制冷(热)量运行效果</w:t>
            </w:r>
          </w:p>
        </w:tc>
        <w:tc>
          <w:tcPr>
            <w:tcW w:w="2192" w:type="dxa"/>
            <w:noWrap w:val="0"/>
            <w:vAlign w:val="center"/>
          </w:tcPr>
          <w:p>
            <w:pPr>
              <w:spacing w:line="240" w:lineRule="auto"/>
              <w:jc w:val="left"/>
              <w:rPr>
                <w:rFonts w:ascii="Times New Roman" w:hAnsi="Times New Roman" w:cs="Times New Roman"/>
                <w:szCs w:val="21"/>
              </w:rPr>
            </w:pPr>
            <w:r>
              <w:rPr>
                <w:rFonts w:ascii="Times New Roman" w:hAnsi="Times New Roman" w:cs="Times New Roman"/>
                <w:szCs w:val="21"/>
              </w:rPr>
              <w:t>自动顺序启停和加减机功能</w:t>
            </w:r>
          </w:p>
        </w:tc>
        <w:tc>
          <w:tcPr>
            <w:tcW w:w="2142" w:type="dxa"/>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□符合  □不符合</w:t>
            </w:r>
          </w:p>
        </w:tc>
        <w:tc>
          <w:tcPr>
            <w:tcW w:w="1276" w:type="dxa"/>
            <w:noWrap w:val="0"/>
            <w:vAlign w:val="center"/>
          </w:tcPr>
          <w:p>
            <w:pPr>
              <w:spacing w:line="240" w:lineRule="auto"/>
              <w:jc w:val="both"/>
              <w:rPr>
                <w:rFonts w:ascii="Times New Roman" w:hAnsi="Times New Roman" w:cs="Times New Roman"/>
                <w:szCs w:val="21"/>
              </w:rPr>
            </w:pPr>
          </w:p>
        </w:tc>
        <w:tc>
          <w:tcPr>
            <w:tcW w:w="907" w:type="dxa"/>
            <w:noWrap w:val="0"/>
            <w:vAlign w:val="center"/>
          </w:tcPr>
          <w:p>
            <w:pPr>
              <w:spacing w:line="240" w:lineRule="auto"/>
              <w:jc w:val="both"/>
              <w:rPr>
                <w:rFonts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17" w:type="dxa"/>
            <w:vMerge w:val="continue"/>
            <w:noWrap w:val="0"/>
            <w:vAlign w:val="center"/>
          </w:tcPr>
          <w:p>
            <w:pPr>
              <w:spacing w:line="240" w:lineRule="auto"/>
              <w:jc w:val="center"/>
              <w:rPr>
                <w:rFonts w:ascii="Times New Roman" w:hAnsi="Times New Roman" w:cs="Times New Roman"/>
                <w:szCs w:val="21"/>
              </w:rPr>
            </w:pPr>
          </w:p>
        </w:tc>
        <w:tc>
          <w:tcPr>
            <w:tcW w:w="1194" w:type="dxa"/>
            <w:vMerge w:val="continue"/>
            <w:noWrap w:val="0"/>
            <w:vAlign w:val="center"/>
          </w:tcPr>
          <w:p>
            <w:pPr>
              <w:spacing w:line="240" w:lineRule="auto"/>
              <w:jc w:val="center"/>
              <w:rPr>
                <w:rFonts w:ascii="Times New Roman" w:hAnsi="Times New Roman" w:cs="Times New Roman"/>
                <w:szCs w:val="21"/>
              </w:rPr>
            </w:pPr>
          </w:p>
        </w:tc>
        <w:tc>
          <w:tcPr>
            <w:tcW w:w="2192" w:type="dxa"/>
            <w:noWrap w:val="0"/>
            <w:vAlign w:val="center"/>
          </w:tcPr>
          <w:p>
            <w:pPr>
              <w:spacing w:line="240" w:lineRule="auto"/>
              <w:jc w:val="left"/>
              <w:rPr>
                <w:rFonts w:ascii="Times New Roman" w:hAnsi="Times New Roman" w:cs="Times New Roman"/>
                <w:szCs w:val="21"/>
              </w:rPr>
            </w:pPr>
            <w:r>
              <w:rPr>
                <w:rFonts w:ascii="Times New Roman" w:hAnsi="Times New Roman" w:cs="Times New Roman"/>
                <w:szCs w:val="21"/>
              </w:rPr>
              <w:t>制冷（热）量的自动优化控制功能</w:t>
            </w:r>
          </w:p>
        </w:tc>
        <w:tc>
          <w:tcPr>
            <w:tcW w:w="2142" w:type="dxa"/>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□符合  □不符合</w:t>
            </w:r>
          </w:p>
        </w:tc>
        <w:tc>
          <w:tcPr>
            <w:tcW w:w="1276" w:type="dxa"/>
            <w:noWrap w:val="0"/>
            <w:vAlign w:val="center"/>
          </w:tcPr>
          <w:p>
            <w:pPr>
              <w:spacing w:line="240" w:lineRule="auto"/>
              <w:jc w:val="both"/>
              <w:rPr>
                <w:rFonts w:ascii="Times New Roman" w:hAnsi="Times New Roman" w:cs="Times New Roman"/>
                <w:szCs w:val="21"/>
              </w:rPr>
            </w:pPr>
          </w:p>
        </w:tc>
        <w:tc>
          <w:tcPr>
            <w:tcW w:w="907" w:type="dxa"/>
            <w:noWrap w:val="0"/>
            <w:vAlign w:val="center"/>
          </w:tcPr>
          <w:p>
            <w:pPr>
              <w:spacing w:line="240" w:lineRule="auto"/>
              <w:jc w:val="both"/>
              <w:rPr>
                <w:rFonts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17"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7.1.10</w:t>
            </w:r>
          </w:p>
        </w:tc>
        <w:tc>
          <w:tcPr>
            <w:tcW w:w="1194"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冷却水泵运行效果</w:t>
            </w:r>
          </w:p>
        </w:tc>
        <w:tc>
          <w:tcPr>
            <w:tcW w:w="2192" w:type="dxa"/>
            <w:noWrap w:val="0"/>
            <w:vAlign w:val="center"/>
          </w:tcPr>
          <w:p>
            <w:pPr>
              <w:spacing w:line="240" w:lineRule="auto"/>
              <w:jc w:val="left"/>
              <w:rPr>
                <w:rFonts w:ascii="Times New Roman" w:hAnsi="Times New Roman" w:cs="Times New Roman"/>
                <w:szCs w:val="21"/>
              </w:rPr>
            </w:pPr>
            <w:r>
              <w:rPr>
                <w:rFonts w:ascii="Times New Roman" w:hAnsi="Times New Roman" w:cs="Times New Roman"/>
                <w:szCs w:val="21"/>
              </w:rPr>
              <w:t>自动变频调速</w:t>
            </w:r>
          </w:p>
        </w:tc>
        <w:tc>
          <w:tcPr>
            <w:tcW w:w="2142" w:type="dxa"/>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□符合  □不符合</w:t>
            </w:r>
          </w:p>
        </w:tc>
        <w:tc>
          <w:tcPr>
            <w:tcW w:w="1276" w:type="dxa"/>
            <w:noWrap w:val="0"/>
            <w:vAlign w:val="center"/>
          </w:tcPr>
          <w:p>
            <w:pPr>
              <w:spacing w:line="240" w:lineRule="auto"/>
              <w:jc w:val="both"/>
              <w:rPr>
                <w:rFonts w:ascii="Times New Roman" w:hAnsi="Times New Roman" w:cs="Times New Roman"/>
                <w:szCs w:val="21"/>
              </w:rPr>
            </w:pPr>
          </w:p>
        </w:tc>
        <w:tc>
          <w:tcPr>
            <w:tcW w:w="907" w:type="dxa"/>
            <w:noWrap w:val="0"/>
            <w:vAlign w:val="center"/>
          </w:tcPr>
          <w:p>
            <w:pPr>
              <w:spacing w:line="240" w:lineRule="auto"/>
              <w:jc w:val="both"/>
              <w:rPr>
                <w:rFonts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17" w:type="dxa"/>
            <w:vMerge w:val="restart"/>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7.1.11</w:t>
            </w:r>
          </w:p>
        </w:tc>
        <w:tc>
          <w:tcPr>
            <w:tcW w:w="1194" w:type="dxa"/>
            <w:vMerge w:val="restart"/>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冷却塔运行效果</w:t>
            </w:r>
          </w:p>
        </w:tc>
        <w:tc>
          <w:tcPr>
            <w:tcW w:w="2192" w:type="dxa"/>
            <w:noWrap w:val="0"/>
            <w:vAlign w:val="center"/>
          </w:tcPr>
          <w:p>
            <w:pPr>
              <w:spacing w:line="240" w:lineRule="auto"/>
              <w:jc w:val="left"/>
              <w:rPr>
                <w:rFonts w:ascii="Times New Roman" w:hAnsi="Times New Roman" w:cs="Times New Roman"/>
                <w:szCs w:val="21"/>
              </w:rPr>
            </w:pPr>
            <w:r>
              <w:rPr>
                <w:rFonts w:ascii="Times New Roman" w:hAnsi="Times New Roman" w:cs="Times New Roman"/>
                <w:szCs w:val="21"/>
              </w:rPr>
              <w:t>自动加减台数</w:t>
            </w:r>
          </w:p>
        </w:tc>
        <w:tc>
          <w:tcPr>
            <w:tcW w:w="2142" w:type="dxa"/>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□符合  □不符合</w:t>
            </w:r>
          </w:p>
        </w:tc>
        <w:tc>
          <w:tcPr>
            <w:tcW w:w="1276" w:type="dxa"/>
            <w:noWrap w:val="0"/>
            <w:vAlign w:val="center"/>
          </w:tcPr>
          <w:p>
            <w:pPr>
              <w:spacing w:line="240" w:lineRule="auto"/>
              <w:jc w:val="both"/>
              <w:rPr>
                <w:rFonts w:ascii="Times New Roman" w:hAnsi="Times New Roman" w:cs="Times New Roman"/>
                <w:szCs w:val="21"/>
              </w:rPr>
            </w:pPr>
          </w:p>
        </w:tc>
        <w:tc>
          <w:tcPr>
            <w:tcW w:w="907" w:type="dxa"/>
            <w:noWrap w:val="0"/>
            <w:vAlign w:val="center"/>
          </w:tcPr>
          <w:p>
            <w:pPr>
              <w:spacing w:line="240" w:lineRule="auto"/>
              <w:jc w:val="both"/>
              <w:rPr>
                <w:rFonts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17" w:type="dxa"/>
            <w:vMerge w:val="continue"/>
            <w:noWrap w:val="0"/>
            <w:vAlign w:val="center"/>
          </w:tcPr>
          <w:p>
            <w:pPr>
              <w:spacing w:line="240" w:lineRule="auto"/>
              <w:jc w:val="center"/>
              <w:rPr>
                <w:rFonts w:ascii="Times New Roman" w:hAnsi="Times New Roman" w:cs="Times New Roman"/>
                <w:szCs w:val="21"/>
              </w:rPr>
            </w:pPr>
          </w:p>
        </w:tc>
        <w:tc>
          <w:tcPr>
            <w:tcW w:w="1194" w:type="dxa"/>
            <w:vMerge w:val="continue"/>
            <w:noWrap w:val="0"/>
            <w:vAlign w:val="center"/>
          </w:tcPr>
          <w:p>
            <w:pPr>
              <w:spacing w:line="240" w:lineRule="auto"/>
              <w:jc w:val="center"/>
              <w:rPr>
                <w:rFonts w:ascii="Times New Roman" w:hAnsi="Times New Roman" w:cs="Times New Roman"/>
                <w:szCs w:val="21"/>
              </w:rPr>
            </w:pPr>
          </w:p>
        </w:tc>
        <w:tc>
          <w:tcPr>
            <w:tcW w:w="2192" w:type="dxa"/>
            <w:noWrap w:val="0"/>
            <w:vAlign w:val="center"/>
          </w:tcPr>
          <w:p>
            <w:pPr>
              <w:spacing w:line="240" w:lineRule="auto"/>
              <w:jc w:val="left"/>
              <w:rPr>
                <w:rFonts w:ascii="Times New Roman" w:hAnsi="Times New Roman" w:cs="Times New Roman"/>
                <w:szCs w:val="21"/>
              </w:rPr>
            </w:pPr>
            <w:r>
              <w:rPr>
                <w:rFonts w:ascii="Times New Roman" w:hAnsi="Times New Roman" w:cs="Times New Roman"/>
                <w:szCs w:val="21"/>
              </w:rPr>
              <w:t>自动变频调速</w:t>
            </w:r>
          </w:p>
        </w:tc>
        <w:tc>
          <w:tcPr>
            <w:tcW w:w="2142" w:type="dxa"/>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□符合  □不符合</w:t>
            </w:r>
          </w:p>
        </w:tc>
        <w:tc>
          <w:tcPr>
            <w:tcW w:w="1276" w:type="dxa"/>
            <w:noWrap w:val="0"/>
            <w:vAlign w:val="center"/>
          </w:tcPr>
          <w:p>
            <w:pPr>
              <w:spacing w:line="240" w:lineRule="auto"/>
              <w:jc w:val="both"/>
              <w:rPr>
                <w:rFonts w:ascii="Times New Roman" w:hAnsi="Times New Roman" w:cs="Times New Roman"/>
                <w:szCs w:val="21"/>
              </w:rPr>
            </w:pPr>
          </w:p>
        </w:tc>
        <w:tc>
          <w:tcPr>
            <w:tcW w:w="907" w:type="dxa"/>
            <w:noWrap w:val="0"/>
            <w:vAlign w:val="center"/>
          </w:tcPr>
          <w:p>
            <w:pPr>
              <w:spacing w:line="240" w:lineRule="auto"/>
              <w:jc w:val="both"/>
              <w:rPr>
                <w:rFonts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17" w:type="dxa"/>
            <w:vMerge w:val="restart"/>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7.1.12</w:t>
            </w:r>
          </w:p>
        </w:tc>
        <w:tc>
          <w:tcPr>
            <w:tcW w:w="1194" w:type="dxa"/>
            <w:vMerge w:val="restart"/>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空调箱运行效果</w:t>
            </w:r>
          </w:p>
        </w:tc>
        <w:tc>
          <w:tcPr>
            <w:tcW w:w="2192" w:type="dxa"/>
            <w:noWrap w:val="0"/>
            <w:vAlign w:val="center"/>
          </w:tcPr>
          <w:p>
            <w:pPr>
              <w:spacing w:line="240" w:lineRule="auto"/>
              <w:jc w:val="left"/>
              <w:rPr>
                <w:rFonts w:ascii="Times New Roman" w:hAnsi="Times New Roman" w:cs="Times New Roman"/>
                <w:szCs w:val="21"/>
              </w:rPr>
            </w:pPr>
            <w:r>
              <w:rPr>
                <w:rFonts w:ascii="Times New Roman" w:hAnsi="Times New Roman" w:cs="Times New Roman"/>
                <w:szCs w:val="21"/>
              </w:rPr>
              <w:t>水阀开度自动调节功</w:t>
            </w:r>
          </w:p>
        </w:tc>
        <w:tc>
          <w:tcPr>
            <w:tcW w:w="2142" w:type="dxa"/>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□符合  □不符合</w:t>
            </w:r>
          </w:p>
        </w:tc>
        <w:tc>
          <w:tcPr>
            <w:tcW w:w="1276" w:type="dxa"/>
            <w:noWrap w:val="0"/>
            <w:vAlign w:val="center"/>
          </w:tcPr>
          <w:p>
            <w:pPr>
              <w:spacing w:line="240" w:lineRule="auto"/>
              <w:jc w:val="both"/>
              <w:rPr>
                <w:rFonts w:ascii="Times New Roman" w:hAnsi="Times New Roman" w:cs="Times New Roman"/>
                <w:szCs w:val="21"/>
              </w:rPr>
            </w:pPr>
          </w:p>
        </w:tc>
        <w:tc>
          <w:tcPr>
            <w:tcW w:w="907" w:type="dxa"/>
            <w:noWrap w:val="0"/>
            <w:vAlign w:val="center"/>
          </w:tcPr>
          <w:p>
            <w:pPr>
              <w:spacing w:line="240" w:lineRule="auto"/>
              <w:jc w:val="both"/>
              <w:rPr>
                <w:rFonts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17" w:type="dxa"/>
            <w:vMerge w:val="continue"/>
            <w:noWrap w:val="0"/>
            <w:vAlign w:val="center"/>
          </w:tcPr>
          <w:p>
            <w:pPr>
              <w:spacing w:line="240" w:lineRule="auto"/>
              <w:jc w:val="center"/>
              <w:rPr>
                <w:rFonts w:ascii="Times New Roman" w:hAnsi="Times New Roman" w:cs="Times New Roman"/>
                <w:szCs w:val="21"/>
              </w:rPr>
            </w:pPr>
          </w:p>
        </w:tc>
        <w:tc>
          <w:tcPr>
            <w:tcW w:w="1194" w:type="dxa"/>
            <w:vMerge w:val="continue"/>
            <w:noWrap w:val="0"/>
            <w:vAlign w:val="center"/>
          </w:tcPr>
          <w:p>
            <w:pPr>
              <w:spacing w:line="240" w:lineRule="auto"/>
              <w:jc w:val="center"/>
              <w:rPr>
                <w:rFonts w:ascii="Times New Roman" w:hAnsi="Times New Roman" w:cs="Times New Roman"/>
                <w:szCs w:val="21"/>
              </w:rPr>
            </w:pPr>
          </w:p>
        </w:tc>
        <w:tc>
          <w:tcPr>
            <w:tcW w:w="2192" w:type="dxa"/>
            <w:noWrap w:val="0"/>
            <w:vAlign w:val="center"/>
          </w:tcPr>
          <w:p>
            <w:pPr>
              <w:spacing w:line="240" w:lineRule="auto"/>
              <w:jc w:val="left"/>
              <w:rPr>
                <w:rFonts w:ascii="Times New Roman" w:hAnsi="Times New Roman" w:cs="Times New Roman"/>
                <w:szCs w:val="21"/>
              </w:rPr>
            </w:pPr>
            <w:r>
              <w:rPr>
                <w:rFonts w:ascii="Times New Roman" w:hAnsi="Times New Roman" w:cs="Times New Roman"/>
                <w:szCs w:val="21"/>
              </w:rPr>
              <w:t>送风机频率自动调节</w:t>
            </w:r>
          </w:p>
        </w:tc>
        <w:tc>
          <w:tcPr>
            <w:tcW w:w="2142" w:type="dxa"/>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□符合  □不符合</w:t>
            </w:r>
          </w:p>
        </w:tc>
        <w:tc>
          <w:tcPr>
            <w:tcW w:w="1276" w:type="dxa"/>
            <w:noWrap w:val="0"/>
            <w:vAlign w:val="center"/>
          </w:tcPr>
          <w:p>
            <w:pPr>
              <w:spacing w:line="240" w:lineRule="auto"/>
              <w:jc w:val="both"/>
              <w:rPr>
                <w:rFonts w:ascii="Times New Roman" w:hAnsi="Times New Roman" w:cs="Times New Roman"/>
                <w:szCs w:val="21"/>
              </w:rPr>
            </w:pPr>
          </w:p>
        </w:tc>
        <w:tc>
          <w:tcPr>
            <w:tcW w:w="907" w:type="dxa"/>
            <w:noWrap w:val="0"/>
            <w:vAlign w:val="center"/>
          </w:tcPr>
          <w:p>
            <w:pPr>
              <w:spacing w:line="240" w:lineRule="auto"/>
              <w:jc w:val="both"/>
              <w:rPr>
                <w:rFonts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17"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7.1.13</w:t>
            </w:r>
          </w:p>
        </w:tc>
        <w:tc>
          <w:tcPr>
            <w:tcW w:w="1194"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新风系统运行效果</w:t>
            </w:r>
          </w:p>
        </w:tc>
        <w:tc>
          <w:tcPr>
            <w:tcW w:w="2192" w:type="dxa"/>
            <w:noWrap w:val="0"/>
            <w:vAlign w:val="center"/>
          </w:tcPr>
          <w:p>
            <w:pPr>
              <w:spacing w:line="240" w:lineRule="auto"/>
              <w:jc w:val="left"/>
              <w:rPr>
                <w:rFonts w:ascii="Times New Roman" w:hAnsi="Times New Roman" w:cs="Times New Roman"/>
                <w:szCs w:val="21"/>
              </w:rPr>
            </w:pPr>
            <w:r>
              <w:rPr>
                <w:rFonts w:ascii="Times New Roman" w:hAnsi="Times New Roman" w:cs="Times New Roman"/>
                <w:szCs w:val="21"/>
              </w:rPr>
              <w:t>新风比的自动调节</w:t>
            </w:r>
          </w:p>
        </w:tc>
        <w:tc>
          <w:tcPr>
            <w:tcW w:w="2142" w:type="dxa"/>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□符合  □不符合</w:t>
            </w:r>
          </w:p>
        </w:tc>
        <w:tc>
          <w:tcPr>
            <w:tcW w:w="1276" w:type="dxa"/>
            <w:noWrap w:val="0"/>
            <w:vAlign w:val="center"/>
          </w:tcPr>
          <w:p>
            <w:pPr>
              <w:spacing w:line="240" w:lineRule="auto"/>
              <w:jc w:val="both"/>
              <w:rPr>
                <w:rFonts w:ascii="Times New Roman" w:hAnsi="Times New Roman" w:cs="Times New Roman"/>
                <w:szCs w:val="21"/>
              </w:rPr>
            </w:pPr>
          </w:p>
        </w:tc>
        <w:tc>
          <w:tcPr>
            <w:tcW w:w="907" w:type="dxa"/>
            <w:noWrap w:val="0"/>
            <w:vAlign w:val="center"/>
          </w:tcPr>
          <w:p>
            <w:pPr>
              <w:spacing w:line="240" w:lineRule="auto"/>
              <w:jc w:val="both"/>
              <w:rPr>
                <w:rFonts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17" w:type="dxa"/>
            <w:vMerge w:val="restart"/>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7.1.16</w:t>
            </w:r>
          </w:p>
        </w:tc>
        <w:tc>
          <w:tcPr>
            <w:tcW w:w="1194" w:type="dxa"/>
            <w:vMerge w:val="restart"/>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变压器能效</w:t>
            </w:r>
          </w:p>
        </w:tc>
        <w:tc>
          <w:tcPr>
            <w:tcW w:w="2192" w:type="dxa"/>
            <w:noWrap w:val="0"/>
            <w:vAlign w:val="center"/>
          </w:tcPr>
          <w:p>
            <w:pPr>
              <w:spacing w:line="240" w:lineRule="auto"/>
              <w:jc w:val="left"/>
              <w:rPr>
                <w:rFonts w:ascii="Times New Roman" w:hAnsi="Times New Roman" w:cs="Times New Roman"/>
                <w:bCs/>
                <w:szCs w:val="21"/>
              </w:rPr>
            </w:pPr>
            <w:r>
              <w:rPr>
                <w:rFonts w:ascii="Times New Roman" w:hAnsi="Times New Roman" w:cs="Times New Roman"/>
                <w:szCs w:val="21"/>
              </w:rPr>
              <w:t>节能性能指标</w:t>
            </w:r>
          </w:p>
        </w:tc>
        <w:tc>
          <w:tcPr>
            <w:tcW w:w="2142" w:type="dxa"/>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□符合  □不符合</w:t>
            </w:r>
          </w:p>
        </w:tc>
        <w:tc>
          <w:tcPr>
            <w:tcW w:w="1276" w:type="dxa"/>
            <w:noWrap w:val="0"/>
            <w:vAlign w:val="center"/>
          </w:tcPr>
          <w:p>
            <w:pPr>
              <w:spacing w:line="240" w:lineRule="auto"/>
              <w:jc w:val="both"/>
              <w:rPr>
                <w:rFonts w:ascii="Times New Roman" w:hAnsi="Times New Roman" w:cs="Times New Roman"/>
                <w:szCs w:val="21"/>
              </w:rPr>
            </w:pPr>
          </w:p>
        </w:tc>
        <w:tc>
          <w:tcPr>
            <w:tcW w:w="907" w:type="dxa"/>
            <w:noWrap w:val="0"/>
            <w:vAlign w:val="center"/>
          </w:tcPr>
          <w:p>
            <w:pPr>
              <w:spacing w:line="240" w:lineRule="auto"/>
              <w:jc w:val="both"/>
              <w:rPr>
                <w:rFonts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17" w:type="dxa"/>
            <w:vMerge w:val="continue"/>
            <w:noWrap w:val="0"/>
            <w:vAlign w:val="center"/>
          </w:tcPr>
          <w:p>
            <w:pPr>
              <w:spacing w:line="240" w:lineRule="auto"/>
              <w:jc w:val="center"/>
              <w:rPr>
                <w:rFonts w:ascii="Times New Roman" w:hAnsi="Times New Roman" w:cs="Times New Roman"/>
                <w:szCs w:val="21"/>
              </w:rPr>
            </w:pPr>
          </w:p>
        </w:tc>
        <w:tc>
          <w:tcPr>
            <w:tcW w:w="1194" w:type="dxa"/>
            <w:vMerge w:val="continue"/>
            <w:noWrap w:val="0"/>
            <w:vAlign w:val="center"/>
          </w:tcPr>
          <w:p>
            <w:pPr>
              <w:spacing w:line="240" w:lineRule="auto"/>
              <w:jc w:val="center"/>
              <w:rPr>
                <w:rFonts w:ascii="Times New Roman" w:hAnsi="Times New Roman" w:cs="Times New Roman"/>
                <w:szCs w:val="21"/>
              </w:rPr>
            </w:pPr>
          </w:p>
        </w:tc>
        <w:tc>
          <w:tcPr>
            <w:tcW w:w="2192" w:type="dxa"/>
            <w:noWrap w:val="0"/>
            <w:vAlign w:val="center"/>
          </w:tcPr>
          <w:p>
            <w:pPr>
              <w:spacing w:line="240" w:lineRule="auto"/>
              <w:jc w:val="left"/>
              <w:rPr>
                <w:rFonts w:ascii="Times New Roman" w:hAnsi="Times New Roman" w:cs="Times New Roman"/>
                <w:szCs w:val="21"/>
              </w:rPr>
            </w:pPr>
            <w:r>
              <w:rPr>
                <w:rFonts w:ascii="Times New Roman" w:hAnsi="Times New Roman" w:cs="Times New Roman"/>
                <w:szCs w:val="21"/>
              </w:rPr>
              <w:t>空载损耗和</w:t>
            </w:r>
          </w:p>
        </w:tc>
        <w:tc>
          <w:tcPr>
            <w:tcW w:w="2142" w:type="dxa"/>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□符合  □不符合</w:t>
            </w:r>
          </w:p>
        </w:tc>
        <w:tc>
          <w:tcPr>
            <w:tcW w:w="1276" w:type="dxa"/>
            <w:noWrap w:val="0"/>
            <w:vAlign w:val="center"/>
          </w:tcPr>
          <w:p>
            <w:pPr>
              <w:spacing w:line="240" w:lineRule="auto"/>
              <w:jc w:val="both"/>
              <w:rPr>
                <w:rFonts w:ascii="Times New Roman" w:hAnsi="Times New Roman" w:cs="Times New Roman"/>
                <w:szCs w:val="21"/>
              </w:rPr>
            </w:pPr>
          </w:p>
        </w:tc>
        <w:tc>
          <w:tcPr>
            <w:tcW w:w="907" w:type="dxa"/>
            <w:noWrap w:val="0"/>
            <w:vAlign w:val="center"/>
          </w:tcPr>
          <w:p>
            <w:pPr>
              <w:spacing w:line="240" w:lineRule="auto"/>
              <w:jc w:val="both"/>
              <w:rPr>
                <w:rFonts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17" w:type="dxa"/>
            <w:vMerge w:val="continue"/>
            <w:noWrap w:val="0"/>
            <w:vAlign w:val="center"/>
          </w:tcPr>
          <w:p>
            <w:pPr>
              <w:spacing w:line="240" w:lineRule="auto"/>
              <w:jc w:val="center"/>
              <w:rPr>
                <w:rFonts w:ascii="Times New Roman" w:hAnsi="Times New Roman" w:cs="Times New Roman"/>
                <w:szCs w:val="21"/>
              </w:rPr>
            </w:pPr>
          </w:p>
        </w:tc>
        <w:tc>
          <w:tcPr>
            <w:tcW w:w="1194" w:type="dxa"/>
            <w:vMerge w:val="continue"/>
            <w:noWrap w:val="0"/>
            <w:vAlign w:val="center"/>
          </w:tcPr>
          <w:p>
            <w:pPr>
              <w:spacing w:line="240" w:lineRule="auto"/>
              <w:jc w:val="center"/>
              <w:rPr>
                <w:rFonts w:ascii="Times New Roman" w:hAnsi="Times New Roman" w:cs="Times New Roman"/>
                <w:szCs w:val="21"/>
              </w:rPr>
            </w:pPr>
          </w:p>
        </w:tc>
        <w:tc>
          <w:tcPr>
            <w:tcW w:w="2192" w:type="dxa"/>
            <w:noWrap w:val="0"/>
            <w:vAlign w:val="center"/>
          </w:tcPr>
          <w:p>
            <w:pPr>
              <w:spacing w:line="240" w:lineRule="auto"/>
              <w:jc w:val="left"/>
              <w:rPr>
                <w:rFonts w:ascii="Times New Roman" w:hAnsi="Times New Roman" w:cs="Times New Roman"/>
                <w:szCs w:val="21"/>
              </w:rPr>
            </w:pPr>
            <w:r>
              <w:rPr>
                <w:rFonts w:ascii="Times New Roman" w:hAnsi="Times New Roman" w:cs="Times New Roman"/>
                <w:szCs w:val="21"/>
              </w:rPr>
              <w:t>负载损耗</w:t>
            </w:r>
          </w:p>
        </w:tc>
        <w:tc>
          <w:tcPr>
            <w:tcW w:w="2142" w:type="dxa"/>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□符合  □不符合</w:t>
            </w:r>
          </w:p>
        </w:tc>
        <w:tc>
          <w:tcPr>
            <w:tcW w:w="1276" w:type="dxa"/>
            <w:noWrap w:val="0"/>
            <w:vAlign w:val="center"/>
          </w:tcPr>
          <w:p>
            <w:pPr>
              <w:spacing w:line="240" w:lineRule="auto"/>
              <w:jc w:val="both"/>
              <w:rPr>
                <w:rFonts w:ascii="Times New Roman" w:hAnsi="Times New Roman" w:cs="Times New Roman"/>
                <w:szCs w:val="21"/>
              </w:rPr>
            </w:pPr>
          </w:p>
        </w:tc>
        <w:tc>
          <w:tcPr>
            <w:tcW w:w="907" w:type="dxa"/>
            <w:noWrap w:val="0"/>
            <w:vAlign w:val="center"/>
          </w:tcPr>
          <w:p>
            <w:pPr>
              <w:spacing w:line="240" w:lineRule="auto"/>
              <w:jc w:val="both"/>
              <w:rPr>
                <w:rFonts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17" w:type="dxa"/>
            <w:vMerge w:val="restart"/>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7.2.2</w:t>
            </w:r>
          </w:p>
        </w:tc>
        <w:tc>
          <w:tcPr>
            <w:tcW w:w="1194" w:type="dxa"/>
            <w:vMerge w:val="restart"/>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节水卫生器具</w:t>
            </w:r>
          </w:p>
        </w:tc>
        <w:tc>
          <w:tcPr>
            <w:tcW w:w="2192" w:type="dxa"/>
            <w:noWrap w:val="0"/>
            <w:vAlign w:val="center"/>
          </w:tcPr>
          <w:p>
            <w:pPr>
              <w:spacing w:line="240" w:lineRule="auto"/>
              <w:jc w:val="left"/>
              <w:rPr>
                <w:rFonts w:ascii="Times New Roman" w:hAnsi="Times New Roman" w:cs="Times New Roman"/>
                <w:bCs/>
                <w:szCs w:val="21"/>
              </w:rPr>
            </w:pPr>
            <w:r>
              <w:rPr>
                <w:rFonts w:ascii="Times New Roman" w:hAnsi="Times New Roman" w:cs="Times New Roman"/>
                <w:bCs/>
                <w:szCs w:val="21"/>
              </w:rPr>
              <w:t>卫生器具用水效率</w:t>
            </w:r>
          </w:p>
        </w:tc>
        <w:tc>
          <w:tcPr>
            <w:tcW w:w="2142" w:type="dxa"/>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□符合  □不符合</w:t>
            </w:r>
          </w:p>
        </w:tc>
        <w:tc>
          <w:tcPr>
            <w:tcW w:w="1276" w:type="dxa"/>
            <w:noWrap w:val="0"/>
            <w:vAlign w:val="center"/>
          </w:tcPr>
          <w:p>
            <w:pPr>
              <w:spacing w:line="240" w:lineRule="auto"/>
              <w:jc w:val="both"/>
              <w:rPr>
                <w:rFonts w:ascii="Times New Roman" w:hAnsi="Times New Roman" w:cs="Times New Roman"/>
                <w:szCs w:val="21"/>
              </w:rPr>
            </w:pPr>
          </w:p>
        </w:tc>
        <w:tc>
          <w:tcPr>
            <w:tcW w:w="907" w:type="dxa"/>
            <w:noWrap w:val="0"/>
            <w:vAlign w:val="center"/>
          </w:tcPr>
          <w:p>
            <w:pPr>
              <w:spacing w:line="240" w:lineRule="auto"/>
              <w:jc w:val="both"/>
              <w:rPr>
                <w:rFonts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17" w:type="dxa"/>
            <w:vMerge w:val="continue"/>
            <w:noWrap w:val="0"/>
            <w:vAlign w:val="center"/>
          </w:tcPr>
          <w:p>
            <w:pPr>
              <w:spacing w:line="240" w:lineRule="auto"/>
              <w:jc w:val="center"/>
              <w:rPr>
                <w:rFonts w:ascii="Times New Roman" w:hAnsi="Times New Roman" w:cs="Times New Roman"/>
                <w:szCs w:val="21"/>
              </w:rPr>
            </w:pPr>
          </w:p>
        </w:tc>
        <w:tc>
          <w:tcPr>
            <w:tcW w:w="1194" w:type="dxa"/>
            <w:vMerge w:val="continue"/>
            <w:noWrap w:val="0"/>
            <w:vAlign w:val="center"/>
          </w:tcPr>
          <w:p>
            <w:pPr>
              <w:spacing w:line="240" w:lineRule="auto"/>
              <w:jc w:val="center"/>
              <w:rPr>
                <w:rFonts w:ascii="Times New Roman" w:hAnsi="Times New Roman" w:cs="Times New Roman"/>
                <w:szCs w:val="21"/>
              </w:rPr>
            </w:pPr>
          </w:p>
        </w:tc>
        <w:tc>
          <w:tcPr>
            <w:tcW w:w="2192" w:type="dxa"/>
            <w:noWrap w:val="0"/>
            <w:vAlign w:val="center"/>
          </w:tcPr>
          <w:p>
            <w:pPr>
              <w:spacing w:line="240" w:lineRule="auto"/>
              <w:jc w:val="left"/>
              <w:rPr>
                <w:rFonts w:ascii="Times New Roman" w:hAnsi="Times New Roman" w:cs="Times New Roman"/>
                <w:bCs/>
                <w:szCs w:val="21"/>
              </w:rPr>
            </w:pPr>
            <w:r>
              <w:rPr>
                <w:rFonts w:ascii="Times New Roman" w:hAnsi="Times New Roman" w:cs="Times New Roman"/>
                <w:bCs/>
                <w:szCs w:val="21"/>
              </w:rPr>
              <w:t>现场安装是否一致</w:t>
            </w:r>
          </w:p>
        </w:tc>
        <w:tc>
          <w:tcPr>
            <w:tcW w:w="2142" w:type="dxa"/>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□符合  □不符合</w:t>
            </w:r>
          </w:p>
        </w:tc>
        <w:tc>
          <w:tcPr>
            <w:tcW w:w="1276" w:type="dxa"/>
            <w:noWrap w:val="0"/>
            <w:vAlign w:val="center"/>
          </w:tcPr>
          <w:p>
            <w:pPr>
              <w:spacing w:line="240" w:lineRule="auto"/>
              <w:jc w:val="both"/>
              <w:rPr>
                <w:rFonts w:ascii="Times New Roman" w:hAnsi="Times New Roman" w:cs="Times New Roman"/>
                <w:szCs w:val="21"/>
              </w:rPr>
            </w:pPr>
          </w:p>
        </w:tc>
        <w:tc>
          <w:tcPr>
            <w:tcW w:w="907" w:type="dxa"/>
            <w:noWrap w:val="0"/>
            <w:vAlign w:val="center"/>
          </w:tcPr>
          <w:p>
            <w:pPr>
              <w:spacing w:line="240" w:lineRule="auto"/>
              <w:jc w:val="both"/>
              <w:rPr>
                <w:rFonts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17" w:type="dxa"/>
            <w:vMerge w:val="restart"/>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7.2.3</w:t>
            </w:r>
          </w:p>
        </w:tc>
        <w:tc>
          <w:tcPr>
            <w:tcW w:w="1194" w:type="dxa"/>
            <w:vMerge w:val="restart"/>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节水灌溉</w:t>
            </w:r>
          </w:p>
        </w:tc>
        <w:tc>
          <w:tcPr>
            <w:tcW w:w="2192" w:type="dxa"/>
            <w:noWrap w:val="0"/>
            <w:vAlign w:val="center"/>
          </w:tcPr>
          <w:p>
            <w:pPr>
              <w:spacing w:line="240" w:lineRule="auto"/>
              <w:jc w:val="left"/>
              <w:rPr>
                <w:rFonts w:ascii="Times New Roman" w:hAnsi="Times New Roman" w:cs="Times New Roman"/>
                <w:bCs/>
                <w:szCs w:val="21"/>
              </w:rPr>
            </w:pPr>
            <w:r>
              <w:rPr>
                <w:rFonts w:ascii="Times New Roman" w:hAnsi="Times New Roman" w:cs="Times New Roman"/>
                <w:szCs w:val="21"/>
              </w:rPr>
              <w:t>土壤湿度感应器</w:t>
            </w:r>
          </w:p>
        </w:tc>
        <w:tc>
          <w:tcPr>
            <w:tcW w:w="2142" w:type="dxa"/>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□符合  □不符合</w:t>
            </w:r>
          </w:p>
        </w:tc>
        <w:tc>
          <w:tcPr>
            <w:tcW w:w="1276" w:type="dxa"/>
            <w:noWrap w:val="0"/>
            <w:vAlign w:val="center"/>
          </w:tcPr>
          <w:p>
            <w:pPr>
              <w:spacing w:line="240" w:lineRule="auto"/>
              <w:jc w:val="both"/>
              <w:rPr>
                <w:rFonts w:ascii="Times New Roman" w:hAnsi="Times New Roman" w:cs="Times New Roman"/>
                <w:szCs w:val="21"/>
                <w:highlight w:val="yellow"/>
              </w:rPr>
            </w:pPr>
          </w:p>
        </w:tc>
        <w:tc>
          <w:tcPr>
            <w:tcW w:w="907" w:type="dxa"/>
            <w:noWrap w:val="0"/>
            <w:vAlign w:val="center"/>
          </w:tcPr>
          <w:p>
            <w:pPr>
              <w:spacing w:line="240" w:lineRule="auto"/>
              <w:jc w:val="both"/>
              <w:rPr>
                <w:rFonts w:ascii="Times New Roman" w:hAnsi="Times New Roman" w:cs="Times New Roman"/>
                <w:szCs w:val="21"/>
                <w:highlight w:val="yell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17" w:type="dxa"/>
            <w:vMerge w:val="continue"/>
            <w:noWrap w:val="0"/>
            <w:vAlign w:val="center"/>
          </w:tcPr>
          <w:p>
            <w:pPr>
              <w:spacing w:line="240" w:lineRule="auto"/>
              <w:jc w:val="center"/>
              <w:rPr>
                <w:rFonts w:ascii="Times New Roman" w:hAnsi="Times New Roman" w:cs="Times New Roman"/>
                <w:szCs w:val="21"/>
              </w:rPr>
            </w:pPr>
          </w:p>
        </w:tc>
        <w:tc>
          <w:tcPr>
            <w:tcW w:w="1194" w:type="dxa"/>
            <w:vMerge w:val="continue"/>
            <w:noWrap w:val="0"/>
            <w:vAlign w:val="center"/>
          </w:tcPr>
          <w:p>
            <w:pPr>
              <w:spacing w:line="240" w:lineRule="auto"/>
              <w:jc w:val="center"/>
              <w:rPr>
                <w:rFonts w:ascii="Times New Roman" w:hAnsi="Times New Roman" w:cs="Times New Roman"/>
                <w:szCs w:val="21"/>
              </w:rPr>
            </w:pPr>
          </w:p>
        </w:tc>
        <w:tc>
          <w:tcPr>
            <w:tcW w:w="2192" w:type="dxa"/>
            <w:noWrap w:val="0"/>
            <w:vAlign w:val="center"/>
          </w:tcPr>
          <w:p>
            <w:pPr>
              <w:spacing w:line="240" w:lineRule="auto"/>
              <w:jc w:val="left"/>
              <w:rPr>
                <w:rFonts w:ascii="Times New Roman" w:hAnsi="Times New Roman" w:cs="Times New Roman"/>
                <w:bCs/>
                <w:szCs w:val="21"/>
              </w:rPr>
            </w:pPr>
            <w:r>
              <w:rPr>
                <w:rFonts w:ascii="Times New Roman" w:hAnsi="Times New Roman" w:cs="Times New Roman"/>
                <w:szCs w:val="21"/>
              </w:rPr>
              <w:t>雨天自动关闭装置</w:t>
            </w:r>
          </w:p>
        </w:tc>
        <w:tc>
          <w:tcPr>
            <w:tcW w:w="2142" w:type="dxa"/>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□符合  □不符合</w:t>
            </w:r>
          </w:p>
        </w:tc>
        <w:tc>
          <w:tcPr>
            <w:tcW w:w="1276" w:type="dxa"/>
            <w:noWrap w:val="0"/>
            <w:vAlign w:val="center"/>
          </w:tcPr>
          <w:p>
            <w:pPr>
              <w:spacing w:line="240" w:lineRule="auto"/>
              <w:jc w:val="both"/>
              <w:rPr>
                <w:rFonts w:ascii="Times New Roman" w:hAnsi="Times New Roman" w:cs="Times New Roman"/>
                <w:szCs w:val="21"/>
              </w:rPr>
            </w:pPr>
          </w:p>
        </w:tc>
        <w:tc>
          <w:tcPr>
            <w:tcW w:w="907" w:type="dxa"/>
            <w:noWrap w:val="0"/>
            <w:vAlign w:val="center"/>
          </w:tcPr>
          <w:p>
            <w:pPr>
              <w:spacing w:line="240" w:lineRule="auto"/>
              <w:jc w:val="both"/>
              <w:rPr>
                <w:rFonts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17"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8.1.4</w:t>
            </w:r>
          </w:p>
        </w:tc>
        <w:tc>
          <w:tcPr>
            <w:tcW w:w="1194"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室外吸烟区</w:t>
            </w:r>
          </w:p>
        </w:tc>
        <w:tc>
          <w:tcPr>
            <w:tcW w:w="2192" w:type="dxa"/>
            <w:noWrap w:val="0"/>
            <w:vAlign w:val="center"/>
          </w:tcPr>
          <w:p>
            <w:pPr>
              <w:spacing w:line="240" w:lineRule="auto"/>
              <w:jc w:val="left"/>
              <w:rPr>
                <w:rFonts w:ascii="Times New Roman" w:hAnsi="Times New Roman" w:cs="Times New Roman"/>
                <w:bCs/>
                <w:szCs w:val="21"/>
              </w:rPr>
            </w:pPr>
            <w:r>
              <w:rPr>
                <w:rFonts w:ascii="Times New Roman" w:hAnsi="Times New Roman" w:cs="Times New Roman"/>
                <w:bCs/>
                <w:szCs w:val="21"/>
              </w:rPr>
              <w:t>场地室外吸烟区布置</w:t>
            </w:r>
          </w:p>
        </w:tc>
        <w:tc>
          <w:tcPr>
            <w:tcW w:w="2142" w:type="dxa"/>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□符合  □不符合</w:t>
            </w:r>
          </w:p>
        </w:tc>
        <w:tc>
          <w:tcPr>
            <w:tcW w:w="1276" w:type="dxa"/>
            <w:noWrap w:val="0"/>
            <w:vAlign w:val="center"/>
          </w:tcPr>
          <w:p>
            <w:pPr>
              <w:spacing w:line="240" w:lineRule="auto"/>
              <w:jc w:val="both"/>
              <w:rPr>
                <w:rFonts w:ascii="Times New Roman" w:hAnsi="Times New Roman" w:cs="Times New Roman"/>
                <w:szCs w:val="21"/>
              </w:rPr>
            </w:pPr>
          </w:p>
        </w:tc>
        <w:tc>
          <w:tcPr>
            <w:tcW w:w="907" w:type="dxa"/>
            <w:noWrap w:val="0"/>
            <w:vAlign w:val="center"/>
          </w:tcPr>
          <w:p>
            <w:pPr>
              <w:spacing w:line="240" w:lineRule="auto"/>
              <w:jc w:val="both"/>
              <w:rPr>
                <w:rFonts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17"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8.1.5</w:t>
            </w:r>
          </w:p>
        </w:tc>
        <w:tc>
          <w:tcPr>
            <w:tcW w:w="1194"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海绵设施</w:t>
            </w:r>
          </w:p>
        </w:tc>
        <w:tc>
          <w:tcPr>
            <w:tcW w:w="2192" w:type="dxa"/>
            <w:noWrap w:val="0"/>
            <w:vAlign w:val="center"/>
          </w:tcPr>
          <w:p>
            <w:pPr>
              <w:spacing w:line="240" w:lineRule="auto"/>
              <w:jc w:val="left"/>
              <w:rPr>
                <w:rFonts w:ascii="Times New Roman" w:hAnsi="Times New Roman" w:cs="Times New Roman"/>
                <w:bCs/>
                <w:szCs w:val="21"/>
              </w:rPr>
            </w:pPr>
            <w:r>
              <w:rPr>
                <w:rFonts w:ascii="Times New Roman" w:hAnsi="Times New Roman" w:cs="Times New Roman"/>
                <w:bCs/>
                <w:szCs w:val="21"/>
              </w:rPr>
              <w:t>场地内海绵设施</w:t>
            </w:r>
          </w:p>
        </w:tc>
        <w:tc>
          <w:tcPr>
            <w:tcW w:w="2142" w:type="dxa"/>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□符合  □不符合</w:t>
            </w:r>
          </w:p>
        </w:tc>
        <w:tc>
          <w:tcPr>
            <w:tcW w:w="1276" w:type="dxa"/>
            <w:noWrap w:val="0"/>
            <w:vAlign w:val="center"/>
          </w:tcPr>
          <w:p>
            <w:pPr>
              <w:spacing w:line="240" w:lineRule="auto"/>
              <w:jc w:val="both"/>
              <w:rPr>
                <w:rFonts w:ascii="Times New Roman" w:hAnsi="Times New Roman" w:cs="Times New Roman"/>
                <w:szCs w:val="21"/>
              </w:rPr>
            </w:pPr>
          </w:p>
        </w:tc>
        <w:tc>
          <w:tcPr>
            <w:tcW w:w="907" w:type="dxa"/>
            <w:noWrap w:val="0"/>
            <w:vAlign w:val="center"/>
          </w:tcPr>
          <w:p>
            <w:pPr>
              <w:spacing w:line="240" w:lineRule="auto"/>
              <w:jc w:val="both"/>
              <w:rPr>
                <w:rFonts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17"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9.0.1</w:t>
            </w:r>
          </w:p>
        </w:tc>
        <w:tc>
          <w:tcPr>
            <w:tcW w:w="1194"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BIM技术应用</w:t>
            </w:r>
          </w:p>
        </w:tc>
        <w:tc>
          <w:tcPr>
            <w:tcW w:w="2192" w:type="dxa"/>
            <w:noWrap w:val="0"/>
            <w:vAlign w:val="center"/>
          </w:tcPr>
          <w:p>
            <w:pPr>
              <w:spacing w:line="240" w:lineRule="auto"/>
              <w:jc w:val="left"/>
              <w:rPr>
                <w:rFonts w:ascii="Times New Roman" w:hAnsi="Times New Roman" w:cs="Times New Roman"/>
                <w:bCs/>
                <w:szCs w:val="21"/>
              </w:rPr>
            </w:pPr>
            <w:r>
              <w:rPr>
                <w:rFonts w:ascii="Times New Roman" w:hAnsi="Times New Roman" w:cs="Times New Roman"/>
                <w:szCs w:val="21"/>
              </w:rPr>
              <w:t>BIM技术应用</w:t>
            </w:r>
          </w:p>
        </w:tc>
        <w:tc>
          <w:tcPr>
            <w:tcW w:w="2142" w:type="dxa"/>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□符合  □不符合</w:t>
            </w:r>
          </w:p>
        </w:tc>
        <w:tc>
          <w:tcPr>
            <w:tcW w:w="1276" w:type="dxa"/>
            <w:noWrap w:val="0"/>
            <w:vAlign w:val="center"/>
          </w:tcPr>
          <w:p>
            <w:pPr>
              <w:spacing w:line="240" w:lineRule="auto"/>
              <w:jc w:val="both"/>
              <w:rPr>
                <w:rFonts w:ascii="Times New Roman" w:hAnsi="Times New Roman" w:cs="Times New Roman"/>
                <w:szCs w:val="21"/>
              </w:rPr>
            </w:pPr>
          </w:p>
        </w:tc>
        <w:tc>
          <w:tcPr>
            <w:tcW w:w="907" w:type="dxa"/>
            <w:noWrap w:val="0"/>
            <w:vAlign w:val="center"/>
          </w:tcPr>
          <w:p>
            <w:pPr>
              <w:spacing w:line="240" w:lineRule="auto"/>
              <w:jc w:val="both"/>
              <w:rPr>
                <w:rFonts w:ascii="Times New Roman" w:hAnsi="Times New Roman" w:cs="Times New Roman"/>
                <w:szCs w:val="21"/>
              </w:rPr>
            </w:pPr>
          </w:p>
        </w:tc>
      </w:tr>
    </w:tbl>
    <w:p>
      <w:pPr>
        <w:spacing w:line="240" w:lineRule="auto"/>
        <w:ind w:right="105"/>
        <w:jc w:val="right"/>
        <w:rPr>
          <w:rFonts w:ascii="Times New Roman" w:hAnsi="Times New Roman" w:eastAsia="黑体" w:cs="Times New Roman"/>
          <w:szCs w:val="24"/>
          <w:lang w:val="zh-CN"/>
        </w:rPr>
      </w:pPr>
    </w:p>
    <w:p>
      <w:pPr>
        <w:spacing w:line="240" w:lineRule="auto"/>
        <w:ind w:right="105"/>
        <w:jc w:val="right"/>
        <w:rPr>
          <w:rFonts w:ascii="Times New Roman" w:hAnsi="Times New Roman" w:eastAsia="黑体" w:cs="Times New Roman"/>
          <w:szCs w:val="24"/>
          <w:lang w:val="zh-CN"/>
        </w:rPr>
      </w:pPr>
    </w:p>
    <w:p>
      <w:pPr>
        <w:spacing w:line="240" w:lineRule="auto"/>
        <w:jc w:val="both"/>
        <w:rPr>
          <w:rFonts w:ascii="Times New Roman" w:hAnsi="Times New Roman" w:cs="Times New Roman"/>
          <w:szCs w:val="24"/>
          <w:lang w:val="zh-CN"/>
        </w:rPr>
      </w:pPr>
    </w:p>
    <w:p>
      <w:pPr>
        <w:rPr>
          <w:lang w:val="zh-CN"/>
        </w:rPr>
        <w:sectPr>
          <w:footerReference r:id="rId12" w:type="default"/>
          <w:pgSz w:w="11906" w:h="16838"/>
          <w:pgMar w:top="1134" w:right="1797" w:bottom="1134" w:left="1797" w:header="851" w:footer="992" w:gutter="0"/>
          <w:pgNumType w:fmt="decimal"/>
          <w:cols w:space="720" w:num="1"/>
          <w:docGrid w:type="lines" w:linePitch="312" w:charSpace="0"/>
        </w:sectPr>
      </w:pPr>
    </w:p>
    <w:p>
      <w:pPr>
        <w:spacing w:line="240" w:lineRule="auto"/>
        <w:jc w:val="center"/>
        <w:rPr>
          <w:rFonts w:ascii="Times New Roman" w:hAnsi="Times New Roman" w:eastAsia="黑体" w:cs="Times New Roman"/>
          <w:szCs w:val="24"/>
          <w:lang w:val="zh-CN"/>
        </w:rPr>
      </w:pPr>
      <w:r>
        <w:rPr>
          <w:rFonts w:ascii="Times New Roman" w:hAnsi="Times New Roman" w:eastAsia="黑体" w:cs="Times New Roman"/>
          <w:szCs w:val="24"/>
          <w:lang w:val="zh-CN"/>
        </w:rPr>
        <w:t>表A.0.2 定量检验参数</w:t>
      </w:r>
    </w:p>
    <w:tbl>
      <w:tblPr>
        <w:tblStyle w:val="15"/>
        <w:tblW w:w="4687" w:type="pct"/>
        <w:tblInd w:w="4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4"/>
        <w:gridCol w:w="976"/>
        <w:gridCol w:w="1774"/>
        <w:gridCol w:w="1438"/>
        <w:gridCol w:w="1098"/>
        <w:gridCol w:w="1762"/>
        <w:gridCol w:w="9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416" w:type="pc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条文号</w:t>
            </w:r>
          </w:p>
        </w:tc>
        <w:tc>
          <w:tcPr>
            <w:tcW w:w="562" w:type="pc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检验参数</w:t>
            </w:r>
          </w:p>
        </w:tc>
        <w:tc>
          <w:tcPr>
            <w:tcW w:w="1011" w:type="pc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检验内容</w:t>
            </w:r>
          </w:p>
        </w:tc>
        <w:tc>
          <w:tcPr>
            <w:tcW w:w="822" w:type="pc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实测结果</w:t>
            </w:r>
          </w:p>
        </w:tc>
        <w:tc>
          <w:tcPr>
            <w:tcW w:w="631" w:type="pc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1"/>
              </w:rPr>
              <w:t>标准或</w:t>
            </w:r>
            <w:r>
              <w:rPr>
                <w:rFonts w:ascii="Times New Roman" w:hAnsi="Times New Roman" w:cs="Times New Roman"/>
                <w:szCs w:val="24"/>
              </w:rPr>
              <w:t>设计要求值</w:t>
            </w:r>
          </w:p>
        </w:tc>
        <w:tc>
          <w:tcPr>
            <w:tcW w:w="1004" w:type="pct"/>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 xml:space="preserve">检验结论 </w:t>
            </w:r>
          </w:p>
        </w:tc>
        <w:tc>
          <w:tcPr>
            <w:tcW w:w="550" w:type="pc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416" w:type="pc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lang w:bidi="ar"/>
              </w:rPr>
              <w:t>4.2.2</w:t>
            </w:r>
          </w:p>
        </w:tc>
        <w:tc>
          <w:tcPr>
            <w:tcW w:w="562" w:type="pc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lang w:bidi="ar"/>
              </w:rPr>
              <w:t>电磁辐射</w:t>
            </w:r>
          </w:p>
        </w:tc>
        <w:tc>
          <w:tcPr>
            <w:tcW w:w="1011" w:type="pct"/>
            <w:noWrap w:val="0"/>
            <w:vAlign w:val="center"/>
          </w:tcPr>
          <w:p>
            <w:pPr>
              <w:spacing w:line="240" w:lineRule="auto"/>
              <w:jc w:val="both"/>
              <w:rPr>
                <w:rFonts w:ascii="Times New Roman" w:hAnsi="Times New Roman" w:cs="Times New Roman"/>
                <w:szCs w:val="24"/>
              </w:rPr>
            </w:pPr>
            <w:r>
              <w:rPr>
                <w:rFonts w:ascii="Times New Roman" w:hAnsi="Times New Roman" w:cs="Times New Roman"/>
                <w:szCs w:val="24"/>
                <w:lang w:bidi="ar"/>
              </w:rPr>
              <w:t>建筑周围电磁辐射值</w:t>
            </w:r>
          </w:p>
        </w:tc>
        <w:tc>
          <w:tcPr>
            <w:tcW w:w="822" w:type="pct"/>
            <w:noWrap w:val="0"/>
            <w:vAlign w:val="center"/>
          </w:tcPr>
          <w:p>
            <w:pPr>
              <w:spacing w:line="240" w:lineRule="auto"/>
              <w:jc w:val="both"/>
              <w:rPr>
                <w:rFonts w:ascii="Times New Roman" w:hAnsi="Times New Roman" w:cs="Times New Roman"/>
                <w:szCs w:val="24"/>
              </w:rPr>
            </w:pPr>
          </w:p>
        </w:tc>
        <w:tc>
          <w:tcPr>
            <w:tcW w:w="631" w:type="pct"/>
            <w:noWrap w:val="0"/>
            <w:vAlign w:val="top"/>
          </w:tcPr>
          <w:p>
            <w:pPr>
              <w:spacing w:line="240" w:lineRule="auto"/>
              <w:jc w:val="both"/>
              <w:rPr>
                <w:rFonts w:ascii="Times New Roman" w:hAnsi="Times New Roman" w:cs="Times New Roman"/>
                <w:szCs w:val="21"/>
              </w:rPr>
            </w:pPr>
          </w:p>
        </w:tc>
        <w:tc>
          <w:tcPr>
            <w:tcW w:w="1004" w:type="pct"/>
            <w:noWrap w:val="0"/>
            <w:vAlign w:val="center"/>
          </w:tcPr>
          <w:p>
            <w:pPr>
              <w:spacing w:line="240" w:lineRule="auto"/>
              <w:jc w:val="left"/>
              <w:rPr>
                <w:rFonts w:ascii="Times New Roman" w:hAnsi="Times New Roman" w:cs="Times New Roman"/>
                <w:szCs w:val="21"/>
              </w:rPr>
            </w:pPr>
            <w:r>
              <w:rPr>
                <w:rFonts w:ascii="Times New Roman" w:hAnsi="Times New Roman" w:cs="Times New Roman"/>
                <w:szCs w:val="24"/>
                <w:lang w:bidi="ar"/>
              </w:rPr>
              <w:t>□符合  □不符合</w:t>
            </w:r>
          </w:p>
        </w:tc>
        <w:tc>
          <w:tcPr>
            <w:tcW w:w="550" w:type="pct"/>
            <w:noWrap w:val="0"/>
            <w:vAlign w:val="center"/>
          </w:tcPr>
          <w:p>
            <w:pPr>
              <w:spacing w:line="240" w:lineRule="auto"/>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16" w:type="pct"/>
            <w:vMerge w:val="restart"/>
            <w:noWrap w:val="0"/>
            <w:vAlign w:val="center"/>
          </w:tcPr>
          <w:p>
            <w:pPr>
              <w:spacing w:line="240" w:lineRule="auto"/>
              <w:jc w:val="center"/>
              <w:rPr>
                <w:rFonts w:ascii="Times New Roman" w:hAnsi="Times New Roman" w:cs="Times New Roman"/>
                <w:szCs w:val="24"/>
                <w:lang w:bidi="ar"/>
              </w:rPr>
            </w:pPr>
            <w:r>
              <w:rPr>
                <w:rFonts w:ascii="Times New Roman" w:hAnsi="Times New Roman" w:cs="Times New Roman"/>
                <w:szCs w:val="24"/>
                <w:lang w:bidi="ar"/>
              </w:rPr>
              <w:t>4.2.16</w:t>
            </w:r>
          </w:p>
        </w:tc>
        <w:tc>
          <w:tcPr>
            <w:tcW w:w="562" w:type="pct"/>
            <w:vMerge w:val="restart"/>
            <w:noWrap w:val="0"/>
            <w:vAlign w:val="center"/>
          </w:tcPr>
          <w:p>
            <w:pPr>
              <w:spacing w:line="240" w:lineRule="auto"/>
              <w:jc w:val="center"/>
              <w:rPr>
                <w:rFonts w:ascii="Times New Roman" w:hAnsi="Times New Roman" w:cs="Times New Roman"/>
                <w:szCs w:val="24"/>
                <w:lang w:bidi="ar"/>
              </w:rPr>
            </w:pPr>
            <w:r>
              <w:rPr>
                <w:rFonts w:ascii="Times New Roman" w:hAnsi="Times New Roman" w:cs="Times New Roman"/>
                <w:szCs w:val="24"/>
                <w:lang w:bidi="ar"/>
              </w:rPr>
              <w:t>路面照度</w:t>
            </w:r>
          </w:p>
        </w:tc>
        <w:tc>
          <w:tcPr>
            <w:tcW w:w="1011" w:type="pct"/>
            <w:noWrap w:val="0"/>
            <w:vAlign w:val="center"/>
          </w:tcPr>
          <w:p>
            <w:pPr>
              <w:spacing w:line="240" w:lineRule="auto"/>
              <w:jc w:val="both"/>
              <w:rPr>
                <w:rFonts w:ascii="Times New Roman" w:hAnsi="Times New Roman" w:cs="Times New Roman"/>
                <w:szCs w:val="24"/>
                <w:lang w:bidi="ar"/>
              </w:rPr>
            </w:pPr>
            <w:r>
              <w:rPr>
                <w:rFonts w:ascii="Times New Roman" w:hAnsi="Times New Roman" w:cs="Times New Roman"/>
                <w:szCs w:val="24"/>
                <w:lang w:bidi="ar"/>
              </w:rPr>
              <w:t>平均水平照度</w:t>
            </w:r>
          </w:p>
        </w:tc>
        <w:tc>
          <w:tcPr>
            <w:tcW w:w="822" w:type="pct"/>
            <w:noWrap w:val="0"/>
            <w:vAlign w:val="center"/>
          </w:tcPr>
          <w:p>
            <w:pPr>
              <w:spacing w:line="240" w:lineRule="auto"/>
              <w:jc w:val="both"/>
              <w:rPr>
                <w:rFonts w:ascii="Times New Roman" w:hAnsi="Times New Roman" w:cs="Times New Roman"/>
                <w:szCs w:val="24"/>
              </w:rPr>
            </w:pPr>
          </w:p>
        </w:tc>
        <w:tc>
          <w:tcPr>
            <w:tcW w:w="631" w:type="pct"/>
            <w:noWrap w:val="0"/>
            <w:vAlign w:val="top"/>
          </w:tcPr>
          <w:p>
            <w:pPr>
              <w:spacing w:line="240" w:lineRule="auto"/>
              <w:jc w:val="both"/>
              <w:rPr>
                <w:rFonts w:ascii="Times New Roman" w:hAnsi="Times New Roman" w:cs="Times New Roman"/>
                <w:szCs w:val="21"/>
              </w:rPr>
            </w:pPr>
          </w:p>
        </w:tc>
        <w:tc>
          <w:tcPr>
            <w:tcW w:w="1004" w:type="pct"/>
            <w:noWrap w:val="0"/>
            <w:vAlign w:val="center"/>
          </w:tcPr>
          <w:p>
            <w:pPr>
              <w:spacing w:line="240" w:lineRule="auto"/>
              <w:jc w:val="left"/>
              <w:rPr>
                <w:rFonts w:ascii="Times New Roman" w:hAnsi="Times New Roman" w:cs="Times New Roman"/>
                <w:szCs w:val="24"/>
                <w:lang w:bidi="ar"/>
              </w:rPr>
            </w:pPr>
            <w:r>
              <w:rPr>
                <w:rFonts w:ascii="Times New Roman" w:hAnsi="Times New Roman" w:cs="Times New Roman"/>
                <w:szCs w:val="24"/>
                <w:lang w:bidi="ar"/>
              </w:rPr>
              <w:t>□符合  □不符合</w:t>
            </w:r>
          </w:p>
        </w:tc>
        <w:tc>
          <w:tcPr>
            <w:tcW w:w="550" w:type="pct"/>
            <w:noWrap w:val="0"/>
            <w:vAlign w:val="center"/>
          </w:tcPr>
          <w:p>
            <w:pPr>
              <w:spacing w:line="240" w:lineRule="auto"/>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16" w:type="pct"/>
            <w:vMerge w:val="continue"/>
            <w:noWrap w:val="0"/>
            <w:vAlign w:val="center"/>
          </w:tcPr>
          <w:p>
            <w:pPr>
              <w:spacing w:line="240" w:lineRule="auto"/>
              <w:jc w:val="center"/>
              <w:rPr>
                <w:rFonts w:ascii="Times New Roman" w:hAnsi="Times New Roman" w:cs="Times New Roman"/>
                <w:szCs w:val="24"/>
                <w:lang w:bidi="ar"/>
              </w:rPr>
            </w:pPr>
          </w:p>
        </w:tc>
        <w:tc>
          <w:tcPr>
            <w:tcW w:w="562" w:type="pct"/>
            <w:vMerge w:val="continue"/>
            <w:noWrap w:val="0"/>
            <w:vAlign w:val="center"/>
          </w:tcPr>
          <w:p>
            <w:pPr>
              <w:spacing w:line="240" w:lineRule="auto"/>
              <w:jc w:val="center"/>
              <w:rPr>
                <w:rFonts w:ascii="Times New Roman" w:hAnsi="Times New Roman" w:cs="Times New Roman"/>
                <w:szCs w:val="24"/>
                <w:lang w:bidi="ar"/>
              </w:rPr>
            </w:pPr>
          </w:p>
        </w:tc>
        <w:tc>
          <w:tcPr>
            <w:tcW w:w="1011" w:type="pct"/>
            <w:noWrap w:val="0"/>
            <w:vAlign w:val="center"/>
          </w:tcPr>
          <w:p>
            <w:pPr>
              <w:spacing w:line="240" w:lineRule="auto"/>
              <w:jc w:val="both"/>
              <w:rPr>
                <w:rFonts w:ascii="Times New Roman" w:hAnsi="Times New Roman" w:cs="Times New Roman"/>
                <w:szCs w:val="24"/>
                <w:lang w:bidi="ar"/>
              </w:rPr>
            </w:pPr>
            <w:r>
              <w:rPr>
                <w:rFonts w:ascii="Times New Roman" w:hAnsi="Times New Roman" w:cs="Times New Roman"/>
                <w:szCs w:val="24"/>
                <w:lang w:bidi="ar"/>
              </w:rPr>
              <w:t>平均照度</w:t>
            </w:r>
          </w:p>
        </w:tc>
        <w:tc>
          <w:tcPr>
            <w:tcW w:w="822" w:type="pct"/>
            <w:noWrap w:val="0"/>
            <w:vAlign w:val="center"/>
          </w:tcPr>
          <w:p>
            <w:pPr>
              <w:spacing w:line="240" w:lineRule="auto"/>
              <w:jc w:val="both"/>
              <w:rPr>
                <w:rFonts w:ascii="Times New Roman" w:hAnsi="Times New Roman" w:cs="Times New Roman"/>
                <w:szCs w:val="24"/>
              </w:rPr>
            </w:pPr>
          </w:p>
        </w:tc>
        <w:tc>
          <w:tcPr>
            <w:tcW w:w="631" w:type="pct"/>
            <w:noWrap w:val="0"/>
            <w:vAlign w:val="top"/>
          </w:tcPr>
          <w:p>
            <w:pPr>
              <w:spacing w:line="240" w:lineRule="auto"/>
              <w:jc w:val="both"/>
              <w:rPr>
                <w:rFonts w:ascii="Times New Roman" w:hAnsi="Times New Roman" w:cs="Times New Roman"/>
                <w:szCs w:val="21"/>
              </w:rPr>
            </w:pPr>
          </w:p>
        </w:tc>
        <w:tc>
          <w:tcPr>
            <w:tcW w:w="1004" w:type="pct"/>
            <w:noWrap w:val="0"/>
            <w:vAlign w:val="center"/>
          </w:tcPr>
          <w:p>
            <w:pPr>
              <w:spacing w:line="240" w:lineRule="auto"/>
              <w:jc w:val="left"/>
              <w:rPr>
                <w:rFonts w:ascii="Times New Roman" w:hAnsi="Times New Roman" w:cs="Times New Roman"/>
                <w:szCs w:val="24"/>
                <w:lang w:bidi="ar"/>
              </w:rPr>
            </w:pPr>
            <w:r>
              <w:rPr>
                <w:rFonts w:ascii="Times New Roman" w:hAnsi="Times New Roman" w:cs="Times New Roman"/>
                <w:szCs w:val="24"/>
                <w:lang w:bidi="ar"/>
              </w:rPr>
              <w:t>□符合  □不符合</w:t>
            </w:r>
          </w:p>
        </w:tc>
        <w:tc>
          <w:tcPr>
            <w:tcW w:w="550" w:type="pct"/>
            <w:noWrap w:val="0"/>
            <w:vAlign w:val="center"/>
          </w:tcPr>
          <w:p>
            <w:pPr>
              <w:spacing w:line="240" w:lineRule="auto"/>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16" w:type="pct"/>
            <w:vMerge w:val="continue"/>
            <w:noWrap w:val="0"/>
            <w:vAlign w:val="center"/>
          </w:tcPr>
          <w:p>
            <w:pPr>
              <w:spacing w:line="240" w:lineRule="auto"/>
              <w:jc w:val="center"/>
              <w:rPr>
                <w:rFonts w:ascii="Times New Roman" w:hAnsi="Times New Roman" w:cs="Times New Roman"/>
                <w:szCs w:val="24"/>
                <w:lang w:bidi="ar"/>
              </w:rPr>
            </w:pPr>
          </w:p>
        </w:tc>
        <w:tc>
          <w:tcPr>
            <w:tcW w:w="562" w:type="pct"/>
            <w:vMerge w:val="continue"/>
            <w:noWrap w:val="0"/>
            <w:vAlign w:val="center"/>
          </w:tcPr>
          <w:p>
            <w:pPr>
              <w:spacing w:line="240" w:lineRule="auto"/>
              <w:jc w:val="center"/>
              <w:rPr>
                <w:rFonts w:ascii="Times New Roman" w:hAnsi="Times New Roman" w:cs="Times New Roman"/>
                <w:szCs w:val="24"/>
                <w:lang w:bidi="ar"/>
              </w:rPr>
            </w:pPr>
          </w:p>
        </w:tc>
        <w:tc>
          <w:tcPr>
            <w:tcW w:w="1011" w:type="pct"/>
            <w:noWrap w:val="0"/>
            <w:vAlign w:val="center"/>
          </w:tcPr>
          <w:p>
            <w:pPr>
              <w:spacing w:line="240" w:lineRule="auto"/>
              <w:jc w:val="both"/>
              <w:rPr>
                <w:rFonts w:ascii="Times New Roman" w:hAnsi="Times New Roman" w:cs="Times New Roman"/>
                <w:szCs w:val="24"/>
                <w:lang w:bidi="ar"/>
              </w:rPr>
            </w:pPr>
            <w:r>
              <w:rPr>
                <w:rFonts w:ascii="Times New Roman" w:hAnsi="Times New Roman" w:cs="Times New Roman"/>
                <w:szCs w:val="24"/>
                <w:lang w:bidi="ar"/>
              </w:rPr>
              <w:t>最小垂直照度</w:t>
            </w:r>
          </w:p>
        </w:tc>
        <w:tc>
          <w:tcPr>
            <w:tcW w:w="822" w:type="pct"/>
            <w:noWrap w:val="0"/>
            <w:vAlign w:val="center"/>
          </w:tcPr>
          <w:p>
            <w:pPr>
              <w:spacing w:line="240" w:lineRule="auto"/>
              <w:jc w:val="both"/>
              <w:rPr>
                <w:rFonts w:ascii="Times New Roman" w:hAnsi="Times New Roman" w:cs="Times New Roman"/>
                <w:szCs w:val="24"/>
              </w:rPr>
            </w:pPr>
          </w:p>
        </w:tc>
        <w:tc>
          <w:tcPr>
            <w:tcW w:w="631" w:type="pct"/>
            <w:noWrap w:val="0"/>
            <w:vAlign w:val="top"/>
          </w:tcPr>
          <w:p>
            <w:pPr>
              <w:spacing w:line="240" w:lineRule="auto"/>
              <w:jc w:val="both"/>
              <w:rPr>
                <w:rFonts w:ascii="Times New Roman" w:hAnsi="Times New Roman" w:cs="Times New Roman"/>
                <w:szCs w:val="21"/>
              </w:rPr>
            </w:pPr>
          </w:p>
        </w:tc>
        <w:tc>
          <w:tcPr>
            <w:tcW w:w="1004" w:type="pct"/>
            <w:noWrap w:val="0"/>
            <w:vAlign w:val="center"/>
          </w:tcPr>
          <w:p>
            <w:pPr>
              <w:spacing w:line="240" w:lineRule="auto"/>
              <w:jc w:val="left"/>
              <w:rPr>
                <w:rFonts w:ascii="Times New Roman" w:hAnsi="Times New Roman" w:cs="Times New Roman"/>
                <w:szCs w:val="24"/>
                <w:lang w:bidi="ar"/>
              </w:rPr>
            </w:pPr>
            <w:r>
              <w:rPr>
                <w:rFonts w:ascii="Times New Roman" w:hAnsi="Times New Roman" w:cs="Times New Roman"/>
                <w:szCs w:val="24"/>
                <w:lang w:bidi="ar"/>
              </w:rPr>
              <w:t>□符合  □不符合</w:t>
            </w:r>
          </w:p>
        </w:tc>
        <w:tc>
          <w:tcPr>
            <w:tcW w:w="550" w:type="pct"/>
            <w:noWrap w:val="0"/>
            <w:vAlign w:val="center"/>
          </w:tcPr>
          <w:p>
            <w:pPr>
              <w:spacing w:line="240" w:lineRule="auto"/>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16" w:type="pct"/>
            <w:vMerge w:val="continue"/>
            <w:noWrap w:val="0"/>
            <w:vAlign w:val="center"/>
          </w:tcPr>
          <w:p>
            <w:pPr>
              <w:spacing w:line="240" w:lineRule="auto"/>
              <w:jc w:val="center"/>
              <w:rPr>
                <w:rFonts w:ascii="Times New Roman" w:hAnsi="Times New Roman" w:cs="Times New Roman"/>
                <w:szCs w:val="24"/>
                <w:lang w:bidi="ar"/>
              </w:rPr>
            </w:pPr>
          </w:p>
        </w:tc>
        <w:tc>
          <w:tcPr>
            <w:tcW w:w="562" w:type="pct"/>
            <w:vMerge w:val="continue"/>
            <w:noWrap w:val="0"/>
            <w:vAlign w:val="center"/>
          </w:tcPr>
          <w:p>
            <w:pPr>
              <w:spacing w:line="240" w:lineRule="auto"/>
              <w:jc w:val="center"/>
              <w:rPr>
                <w:rFonts w:ascii="Times New Roman" w:hAnsi="Times New Roman" w:cs="Times New Roman"/>
                <w:szCs w:val="24"/>
                <w:lang w:bidi="ar"/>
              </w:rPr>
            </w:pPr>
          </w:p>
        </w:tc>
        <w:tc>
          <w:tcPr>
            <w:tcW w:w="1011" w:type="pct"/>
            <w:noWrap w:val="0"/>
            <w:vAlign w:val="center"/>
          </w:tcPr>
          <w:p>
            <w:pPr>
              <w:spacing w:line="240" w:lineRule="auto"/>
              <w:jc w:val="both"/>
              <w:rPr>
                <w:rFonts w:ascii="Times New Roman" w:hAnsi="Times New Roman" w:cs="Times New Roman"/>
                <w:szCs w:val="24"/>
                <w:lang w:bidi="ar"/>
              </w:rPr>
            </w:pPr>
            <w:r>
              <w:rPr>
                <w:rFonts w:ascii="Times New Roman" w:hAnsi="Times New Roman" w:cs="Times New Roman"/>
                <w:szCs w:val="24"/>
                <w:lang w:bidi="ar"/>
              </w:rPr>
              <w:t>半</w:t>
            </w:r>
            <w:r>
              <w:rPr>
                <w:rFonts w:hint="eastAsia" w:cs="Times New Roman"/>
                <w:szCs w:val="24"/>
                <w:lang w:val="en-US" w:eastAsia="zh-CN" w:bidi="ar"/>
              </w:rPr>
              <w:t>柱</w:t>
            </w:r>
            <w:r>
              <w:rPr>
                <w:rFonts w:ascii="Times New Roman" w:hAnsi="Times New Roman" w:cs="Times New Roman"/>
                <w:szCs w:val="24"/>
                <w:lang w:bidi="ar"/>
              </w:rPr>
              <w:t>面照度</w:t>
            </w:r>
          </w:p>
        </w:tc>
        <w:tc>
          <w:tcPr>
            <w:tcW w:w="822" w:type="pct"/>
            <w:noWrap w:val="0"/>
            <w:vAlign w:val="center"/>
          </w:tcPr>
          <w:p>
            <w:pPr>
              <w:spacing w:line="240" w:lineRule="auto"/>
              <w:jc w:val="both"/>
              <w:rPr>
                <w:rFonts w:ascii="Times New Roman" w:hAnsi="Times New Roman" w:cs="Times New Roman"/>
                <w:szCs w:val="24"/>
              </w:rPr>
            </w:pPr>
          </w:p>
        </w:tc>
        <w:tc>
          <w:tcPr>
            <w:tcW w:w="631" w:type="pct"/>
            <w:noWrap w:val="0"/>
            <w:vAlign w:val="top"/>
          </w:tcPr>
          <w:p>
            <w:pPr>
              <w:spacing w:line="240" w:lineRule="auto"/>
              <w:jc w:val="both"/>
              <w:rPr>
                <w:rFonts w:ascii="Times New Roman" w:hAnsi="Times New Roman" w:cs="Times New Roman"/>
                <w:szCs w:val="21"/>
              </w:rPr>
            </w:pPr>
          </w:p>
        </w:tc>
        <w:tc>
          <w:tcPr>
            <w:tcW w:w="1004" w:type="pct"/>
            <w:noWrap w:val="0"/>
            <w:vAlign w:val="center"/>
          </w:tcPr>
          <w:p>
            <w:pPr>
              <w:spacing w:line="240" w:lineRule="auto"/>
              <w:jc w:val="left"/>
              <w:rPr>
                <w:rFonts w:ascii="Times New Roman" w:hAnsi="Times New Roman" w:cs="Times New Roman"/>
                <w:szCs w:val="24"/>
                <w:lang w:bidi="ar"/>
              </w:rPr>
            </w:pPr>
            <w:r>
              <w:rPr>
                <w:rFonts w:ascii="Times New Roman" w:hAnsi="Times New Roman" w:cs="Times New Roman"/>
                <w:szCs w:val="24"/>
                <w:lang w:bidi="ar"/>
              </w:rPr>
              <w:t>□符合  □不符合</w:t>
            </w:r>
          </w:p>
        </w:tc>
        <w:tc>
          <w:tcPr>
            <w:tcW w:w="550" w:type="pct"/>
            <w:noWrap w:val="0"/>
            <w:vAlign w:val="center"/>
          </w:tcPr>
          <w:p>
            <w:pPr>
              <w:spacing w:line="240" w:lineRule="auto"/>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16" w:type="pct"/>
            <w:vMerge w:val="continue"/>
            <w:noWrap w:val="0"/>
            <w:vAlign w:val="center"/>
          </w:tcPr>
          <w:p>
            <w:pPr>
              <w:spacing w:line="240" w:lineRule="auto"/>
              <w:jc w:val="center"/>
              <w:rPr>
                <w:rFonts w:ascii="Times New Roman" w:hAnsi="Times New Roman" w:cs="Times New Roman"/>
                <w:szCs w:val="24"/>
                <w:lang w:bidi="ar"/>
              </w:rPr>
            </w:pPr>
          </w:p>
        </w:tc>
        <w:tc>
          <w:tcPr>
            <w:tcW w:w="562" w:type="pct"/>
            <w:vMerge w:val="continue"/>
            <w:noWrap w:val="0"/>
            <w:vAlign w:val="center"/>
          </w:tcPr>
          <w:p>
            <w:pPr>
              <w:spacing w:line="240" w:lineRule="auto"/>
              <w:jc w:val="center"/>
              <w:rPr>
                <w:rFonts w:ascii="Times New Roman" w:hAnsi="Times New Roman" w:cs="Times New Roman"/>
                <w:szCs w:val="24"/>
                <w:lang w:bidi="ar"/>
              </w:rPr>
            </w:pPr>
          </w:p>
        </w:tc>
        <w:tc>
          <w:tcPr>
            <w:tcW w:w="1011" w:type="pct"/>
            <w:noWrap w:val="0"/>
            <w:vAlign w:val="center"/>
          </w:tcPr>
          <w:p>
            <w:pPr>
              <w:spacing w:line="240" w:lineRule="auto"/>
              <w:jc w:val="both"/>
              <w:rPr>
                <w:rFonts w:ascii="Times New Roman" w:hAnsi="Times New Roman" w:cs="Times New Roman"/>
                <w:szCs w:val="24"/>
                <w:lang w:bidi="ar"/>
              </w:rPr>
            </w:pPr>
            <w:r>
              <w:rPr>
                <w:rFonts w:ascii="Times New Roman" w:hAnsi="Times New Roman" w:cs="Times New Roman"/>
                <w:szCs w:val="24"/>
                <w:lang w:bidi="ar"/>
              </w:rPr>
              <w:t>一般显色指数</w:t>
            </w:r>
          </w:p>
        </w:tc>
        <w:tc>
          <w:tcPr>
            <w:tcW w:w="822" w:type="pct"/>
            <w:noWrap w:val="0"/>
            <w:vAlign w:val="center"/>
          </w:tcPr>
          <w:p>
            <w:pPr>
              <w:spacing w:line="240" w:lineRule="auto"/>
              <w:jc w:val="both"/>
              <w:rPr>
                <w:rFonts w:ascii="Times New Roman" w:hAnsi="Times New Roman" w:cs="Times New Roman"/>
                <w:szCs w:val="24"/>
              </w:rPr>
            </w:pPr>
          </w:p>
        </w:tc>
        <w:tc>
          <w:tcPr>
            <w:tcW w:w="631" w:type="pct"/>
            <w:noWrap w:val="0"/>
            <w:vAlign w:val="top"/>
          </w:tcPr>
          <w:p>
            <w:pPr>
              <w:spacing w:line="240" w:lineRule="auto"/>
              <w:jc w:val="both"/>
              <w:rPr>
                <w:rFonts w:ascii="Times New Roman" w:hAnsi="Times New Roman" w:cs="Times New Roman"/>
                <w:szCs w:val="21"/>
              </w:rPr>
            </w:pPr>
          </w:p>
        </w:tc>
        <w:tc>
          <w:tcPr>
            <w:tcW w:w="1004" w:type="pct"/>
            <w:noWrap w:val="0"/>
            <w:vAlign w:val="center"/>
          </w:tcPr>
          <w:p>
            <w:pPr>
              <w:spacing w:line="240" w:lineRule="auto"/>
              <w:jc w:val="left"/>
              <w:rPr>
                <w:rFonts w:ascii="Times New Roman" w:hAnsi="Times New Roman" w:cs="Times New Roman"/>
                <w:szCs w:val="24"/>
                <w:lang w:bidi="ar"/>
              </w:rPr>
            </w:pPr>
            <w:r>
              <w:rPr>
                <w:rFonts w:ascii="Times New Roman" w:hAnsi="Times New Roman" w:cs="Times New Roman"/>
                <w:szCs w:val="24"/>
                <w:lang w:bidi="ar"/>
              </w:rPr>
              <w:t>□符合  □不符合</w:t>
            </w:r>
          </w:p>
        </w:tc>
        <w:tc>
          <w:tcPr>
            <w:tcW w:w="550" w:type="pct"/>
            <w:noWrap w:val="0"/>
            <w:vAlign w:val="center"/>
          </w:tcPr>
          <w:p>
            <w:pPr>
              <w:spacing w:line="240" w:lineRule="auto"/>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416" w:type="pct"/>
            <w:noWrap w:val="0"/>
            <w:vAlign w:val="center"/>
          </w:tcPr>
          <w:p>
            <w:pPr>
              <w:spacing w:line="240" w:lineRule="auto"/>
              <w:jc w:val="center"/>
              <w:rPr>
                <w:rFonts w:ascii="Times New Roman" w:hAnsi="Times New Roman" w:cs="Times New Roman"/>
                <w:szCs w:val="24"/>
                <w:lang w:bidi="ar"/>
              </w:rPr>
            </w:pPr>
            <w:r>
              <w:rPr>
                <w:rFonts w:ascii="Times New Roman" w:hAnsi="Times New Roman" w:cs="Times New Roman"/>
                <w:szCs w:val="24"/>
                <w:lang w:bidi="ar"/>
              </w:rPr>
              <w:t>5.1.1</w:t>
            </w:r>
          </w:p>
        </w:tc>
        <w:tc>
          <w:tcPr>
            <w:tcW w:w="562" w:type="pct"/>
            <w:noWrap w:val="0"/>
            <w:vAlign w:val="center"/>
          </w:tcPr>
          <w:p>
            <w:pPr>
              <w:spacing w:line="240" w:lineRule="auto"/>
              <w:jc w:val="center"/>
              <w:rPr>
                <w:rFonts w:ascii="Times New Roman" w:hAnsi="Times New Roman" w:cs="Times New Roman"/>
                <w:szCs w:val="24"/>
                <w:lang w:bidi="ar"/>
              </w:rPr>
            </w:pPr>
            <w:r>
              <w:rPr>
                <w:rFonts w:ascii="Times New Roman" w:hAnsi="Times New Roman" w:cs="Times New Roman"/>
                <w:szCs w:val="24"/>
                <w:lang w:bidi="ar"/>
              </w:rPr>
              <w:t>室内背景噪声</w:t>
            </w:r>
          </w:p>
        </w:tc>
        <w:tc>
          <w:tcPr>
            <w:tcW w:w="1011" w:type="pct"/>
            <w:noWrap w:val="0"/>
            <w:vAlign w:val="center"/>
          </w:tcPr>
          <w:p>
            <w:pPr>
              <w:spacing w:line="240" w:lineRule="auto"/>
              <w:jc w:val="both"/>
              <w:rPr>
                <w:rFonts w:ascii="Times New Roman" w:hAnsi="Times New Roman" w:cs="Times New Roman"/>
                <w:szCs w:val="24"/>
                <w:lang w:bidi="ar"/>
              </w:rPr>
            </w:pPr>
            <w:r>
              <w:rPr>
                <w:rFonts w:ascii="Times New Roman" w:hAnsi="Times New Roman" w:cs="Times New Roman"/>
                <w:szCs w:val="24"/>
                <w:lang w:bidi="ar"/>
              </w:rPr>
              <w:t>外部噪声源传播至室内噪声</w:t>
            </w:r>
          </w:p>
        </w:tc>
        <w:tc>
          <w:tcPr>
            <w:tcW w:w="822" w:type="pct"/>
            <w:noWrap w:val="0"/>
            <w:vAlign w:val="center"/>
          </w:tcPr>
          <w:p>
            <w:pPr>
              <w:spacing w:line="240" w:lineRule="auto"/>
              <w:jc w:val="both"/>
              <w:rPr>
                <w:rFonts w:ascii="Times New Roman" w:hAnsi="Times New Roman" w:cs="Times New Roman"/>
                <w:szCs w:val="24"/>
              </w:rPr>
            </w:pPr>
          </w:p>
        </w:tc>
        <w:tc>
          <w:tcPr>
            <w:tcW w:w="631" w:type="pct"/>
            <w:noWrap w:val="0"/>
            <w:vAlign w:val="top"/>
          </w:tcPr>
          <w:p>
            <w:pPr>
              <w:spacing w:line="240" w:lineRule="auto"/>
              <w:jc w:val="both"/>
              <w:rPr>
                <w:rFonts w:ascii="Times New Roman" w:hAnsi="Times New Roman" w:cs="Times New Roman"/>
                <w:szCs w:val="21"/>
              </w:rPr>
            </w:pPr>
          </w:p>
        </w:tc>
        <w:tc>
          <w:tcPr>
            <w:tcW w:w="1004" w:type="pct"/>
            <w:noWrap w:val="0"/>
            <w:vAlign w:val="center"/>
          </w:tcPr>
          <w:p>
            <w:pPr>
              <w:spacing w:line="240" w:lineRule="auto"/>
              <w:jc w:val="left"/>
              <w:rPr>
                <w:rFonts w:ascii="Times New Roman" w:hAnsi="Times New Roman" w:cs="Times New Roman"/>
                <w:szCs w:val="24"/>
                <w:lang w:bidi="ar"/>
              </w:rPr>
            </w:pPr>
            <w:r>
              <w:rPr>
                <w:rFonts w:ascii="Times New Roman" w:hAnsi="Times New Roman" w:cs="Times New Roman"/>
                <w:szCs w:val="24"/>
                <w:lang w:bidi="ar"/>
              </w:rPr>
              <w:t>□符合  □不符合</w:t>
            </w:r>
          </w:p>
        </w:tc>
        <w:tc>
          <w:tcPr>
            <w:tcW w:w="550" w:type="pct"/>
            <w:noWrap w:val="0"/>
            <w:vAlign w:val="center"/>
          </w:tcPr>
          <w:p>
            <w:pPr>
              <w:spacing w:line="240" w:lineRule="auto"/>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416" w:type="pct"/>
            <w:noWrap w:val="0"/>
            <w:vAlign w:val="center"/>
          </w:tcPr>
          <w:p>
            <w:pPr>
              <w:spacing w:line="240" w:lineRule="auto"/>
              <w:jc w:val="center"/>
              <w:rPr>
                <w:rFonts w:ascii="Times New Roman" w:hAnsi="Times New Roman" w:cs="Times New Roman"/>
                <w:szCs w:val="24"/>
                <w:lang w:bidi="ar"/>
              </w:rPr>
            </w:pPr>
            <w:r>
              <w:rPr>
                <w:rFonts w:ascii="Times New Roman" w:hAnsi="Times New Roman" w:cs="Times New Roman"/>
                <w:szCs w:val="24"/>
                <w:lang w:bidi="ar"/>
              </w:rPr>
              <w:t>5.1.2</w:t>
            </w:r>
          </w:p>
        </w:tc>
        <w:tc>
          <w:tcPr>
            <w:tcW w:w="562" w:type="pct"/>
            <w:noWrap w:val="0"/>
            <w:vAlign w:val="center"/>
          </w:tcPr>
          <w:p>
            <w:pPr>
              <w:spacing w:line="240" w:lineRule="auto"/>
              <w:jc w:val="center"/>
              <w:rPr>
                <w:rFonts w:ascii="Times New Roman" w:hAnsi="Times New Roman" w:cs="Times New Roman"/>
                <w:szCs w:val="24"/>
                <w:lang w:bidi="ar"/>
              </w:rPr>
            </w:pPr>
            <w:r>
              <w:rPr>
                <w:rFonts w:ascii="Times New Roman" w:hAnsi="Times New Roman" w:cs="Times New Roman"/>
                <w:szCs w:val="24"/>
                <w:lang w:bidi="ar"/>
              </w:rPr>
              <w:t>室内背景噪声</w:t>
            </w:r>
          </w:p>
        </w:tc>
        <w:tc>
          <w:tcPr>
            <w:tcW w:w="1011" w:type="pct"/>
            <w:noWrap w:val="0"/>
            <w:vAlign w:val="center"/>
          </w:tcPr>
          <w:p>
            <w:pPr>
              <w:spacing w:line="240" w:lineRule="auto"/>
              <w:jc w:val="both"/>
              <w:rPr>
                <w:rFonts w:ascii="Times New Roman" w:hAnsi="Times New Roman" w:cs="Times New Roman"/>
                <w:szCs w:val="24"/>
                <w:lang w:bidi="ar"/>
              </w:rPr>
            </w:pPr>
            <w:r>
              <w:rPr>
                <w:rFonts w:ascii="Times New Roman" w:hAnsi="Times New Roman" w:cs="Times New Roman"/>
                <w:szCs w:val="24"/>
                <w:lang w:bidi="ar"/>
              </w:rPr>
              <w:t>内部噪声源传播至室内噪声</w:t>
            </w:r>
          </w:p>
        </w:tc>
        <w:tc>
          <w:tcPr>
            <w:tcW w:w="822" w:type="pct"/>
            <w:noWrap w:val="0"/>
            <w:vAlign w:val="center"/>
          </w:tcPr>
          <w:p>
            <w:pPr>
              <w:spacing w:line="240" w:lineRule="auto"/>
              <w:jc w:val="both"/>
              <w:rPr>
                <w:rFonts w:ascii="Times New Roman" w:hAnsi="Times New Roman" w:cs="Times New Roman"/>
                <w:szCs w:val="24"/>
              </w:rPr>
            </w:pPr>
          </w:p>
        </w:tc>
        <w:tc>
          <w:tcPr>
            <w:tcW w:w="631" w:type="pct"/>
            <w:noWrap w:val="0"/>
            <w:vAlign w:val="top"/>
          </w:tcPr>
          <w:p>
            <w:pPr>
              <w:spacing w:line="240" w:lineRule="auto"/>
              <w:jc w:val="both"/>
              <w:rPr>
                <w:rFonts w:ascii="Times New Roman" w:hAnsi="Times New Roman" w:cs="Times New Roman"/>
                <w:szCs w:val="21"/>
              </w:rPr>
            </w:pPr>
          </w:p>
        </w:tc>
        <w:tc>
          <w:tcPr>
            <w:tcW w:w="1004" w:type="pct"/>
            <w:noWrap w:val="0"/>
            <w:vAlign w:val="center"/>
          </w:tcPr>
          <w:p>
            <w:pPr>
              <w:spacing w:line="240" w:lineRule="auto"/>
              <w:jc w:val="left"/>
              <w:rPr>
                <w:rFonts w:ascii="Times New Roman" w:hAnsi="Times New Roman" w:cs="Times New Roman"/>
                <w:szCs w:val="24"/>
                <w:lang w:bidi="ar"/>
              </w:rPr>
            </w:pPr>
            <w:r>
              <w:rPr>
                <w:rFonts w:ascii="Times New Roman" w:hAnsi="Times New Roman" w:cs="Times New Roman"/>
                <w:szCs w:val="24"/>
                <w:lang w:bidi="ar"/>
              </w:rPr>
              <w:t>□符合  □不符合</w:t>
            </w:r>
          </w:p>
        </w:tc>
        <w:tc>
          <w:tcPr>
            <w:tcW w:w="550" w:type="pct"/>
            <w:noWrap w:val="0"/>
            <w:vAlign w:val="center"/>
          </w:tcPr>
          <w:p>
            <w:pPr>
              <w:spacing w:line="240" w:lineRule="auto"/>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416" w:type="pct"/>
            <w:noWrap w:val="0"/>
            <w:vAlign w:val="center"/>
          </w:tcPr>
          <w:p>
            <w:pPr>
              <w:spacing w:line="240" w:lineRule="auto"/>
              <w:jc w:val="center"/>
              <w:rPr>
                <w:rFonts w:ascii="Times New Roman" w:hAnsi="Times New Roman" w:cs="Times New Roman"/>
                <w:szCs w:val="24"/>
                <w:lang w:bidi="ar"/>
              </w:rPr>
            </w:pPr>
            <w:r>
              <w:rPr>
                <w:rFonts w:ascii="Times New Roman" w:hAnsi="Times New Roman" w:cs="Times New Roman"/>
                <w:szCs w:val="24"/>
                <w:lang w:bidi="ar"/>
              </w:rPr>
              <w:t>5.1.3</w:t>
            </w:r>
          </w:p>
        </w:tc>
        <w:tc>
          <w:tcPr>
            <w:tcW w:w="562" w:type="pct"/>
            <w:noWrap w:val="0"/>
            <w:vAlign w:val="center"/>
          </w:tcPr>
          <w:p>
            <w:pPr>
              <w:spacing w:line="240" w:lineRule="auto"/>
              <w:jc w:val="center"/>
              <w:rPr>
                <w:rFonts w:ascii="Times New Roman" w:hAnsi="Times New Roman" w:cs="Times New Roman"/>
                <w:szCs w:val="24"/>
                <w:lang w:bidi="ar"/>
              </w:rPr>
            </w:pPr>
            <w:r>
              <w:rPr>
                <w:rFonts w:ascii="Times New Roman" w:hAnsi="Times New Roman" w:cs="Times New Roman"/>
                <w:szCs w:val="24"/>
                <w:lang w:bidi="ar"/>
              </w:rPr>
              <w:t>楼板撞击声隔声</w:t>
            </w:r>
          </w:p>
        </w:tc>
        <w:tc>
          <w:tcPr>
            <w:tcW w:w="1011" w:type="pct"/>
            <w:noWrap w:val="0"/>
            <w:vAlign w:val="center"/>
          </w:tcPr>
          <w:p>
            <w:pPr>
              <w:spacing w:line="240" w:lineRule="auto"/>
              <w:jc w:val="both"/>
              <w:rPr>
                <w:rFonts w:ascii="Times New Roman" w:hAnsi="Times New Roman" w:cs="Times New Roman"/>
                <w:szCs w:val="24"/>
                <w:lang w:bidi="ar"/>
              </w:rPr>
            </w:pPr>
            <w:r>
              <w:rPr>
                <w:rFonts w:ascii="Times New Roman" w:hAnsi="Times New Roman" w:cs="Times New Roman"/>
                <w:szCs w:val="24"/>
                <w:lang w:bidi="ar"/>
              </w:rPr>
              <w:t>计权标准化撞击声声压级</w:t>
            </w:r>
          </w:p>
        </w:tc>
        <w:tc>
          <w:tcPr>
            <w:tcW w:w="822" w:type="pct"/>
            <w:noWrap w:val="0"/>
            <w:vAlign w:val="center"/>
          </w:tcPr>
          <w:p>
            <w:pPr>
              <w:spacing w:line="240" w:lineRule="auto"/>
              <w:jc w:val="both"/>
              <w:rPr>
                <w:rFonts w:ascii="Times New Roman" w:hAnsi="Times New Roman" w:cs="Times New Roman"/>
                <w:szCs w:val="24"/>
              </w:rPr>
            </w:pPr>
          </w:p>
        </w:tc>
        <w:tc>
          <w:tcPr>
            <w:tcW w:w="631" w:type="pct"/>
            <w:noWrap w:val="0"/>
            <w:vAlign w:val="top"/>
          </w:tcPr>
          <w:p>
            <w:pPr>
              <w:spacing w:line="240" w:lineRule="auto"/>
              <w:jc w:val="both"/>
              <w:rPr>
                <w:rFonts w:ascii="Times New Roman" w:hAnsi="Times New Roman" w:cs="Times New Roman"/>
                <w:szCs w:val="21"/>
              </w:rPr>
            </w:pPr>
          </w:p>
        </w:tc>
        <w:tc>
          <w:tcPr>
            <w:tcW w:w="1004" w:type="pct"/>
            <w:noWrap w:val="0"/>
            <w:vAlign w:val="center"/>
          </w:tcPr>
          <w:p>
            <w:pPr>
              <w:spacing w:line="240" w:lineRule="auto"/>
              <w:jc w:val="left"/>
              <w:rPr>
                <w:rFonts w:ascii="Times New Roman" w:hAnsi="Times New Roman" w:cs="Times New Roman"/>
                <w:szCs w:val="24"/>
                <w:lang w:bidi="ar"/>
              </w:rPr>
            </w:pPr>
            <w:r>
              <w:rPr>
                <w:rFonts w:ascii="Times New Roman" w:hAnsi="Times New Roman" w:cs="Times New Roman"/>
                <w:szCs w:val="24"/>
                <w:lang w:bidi="ar"/>
              </w:rPr>
              <w:t>□符合  □不符合</w:t>
            </w:r>
          </w:p>
        </w:tc>
        <w:tc>
          <w:tcPr>
            <w:tcW w:w="550" w:type="pct"/>
            <w:noWrap w:val="0"/>
            <w:vAlign w:val="center"/>
          </w:tcPr>
          <w:p>
            <w:pPr>
              <w:spacing w:line="240" w:lineRule="auto"/>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416" w:type="pct"/>
            <w:noWrap w:val="0"/>
            <w:vAlign w:val="center"/>
          </w:tcPr>
          <w:p>
            <w:pPr>
              <w:spacing w:line="240" w:lineRule="auto"/>
              <w:jc w:val="center"/>
              <w:rPr>
                <w:rFonts w:ascii="Times New Roman" w:hAnsi="Times New Roman" w:cs="Times New Roman"/>
                <w:szCs w:val="24"/>
                <w:lang w:bidi="ar"/>
              </w:rPr>
            </w:pPr>
            <w:r>
              <w:rPr>
                <w:rFonts w:ascii="Times New Roman" w:hAnsi="Times New Roman" w:cs="Times New Roman"/>
                <w:szCs w:val="24"/>
                <w:lang w:bidi="ar"/>
              </w:rPr>
              <w:t>5.1.4</w:t>
            </w:r>
          </w:p>
        </w:tc>
        <w:tc>
          <w:tcPr>
            <w:tcW w:w="562" w:type="pct"/>
            <w:noWrap w:val="0"/>
            <w:vAlign w:val="center"/>
          </w:tcPr>
          <w:p>
            <w:pPr>
              <w:spacing w:line="240" w:lineRule="auto"/>
              <w:jc w:val="center"/>
              <w:rPr>
                <w:rFonts w:ascii="Times New Roman" w:hAnsi="Times New Roman" w:cs="Times New Roman"/>
                <w:szCs w:val="24"/>
                <w:lang w:bidi="ar"/>
              </w:rPr>
            </w:pPr>
            <w:r>
              <w:rPr>
                <w:rFonts w:ascii="Times New Roman" w:hAnsi="Times New Roman" w:cs="Times New Roman"/>
                <w:szCs w:val="24"/>
                <w:lang w:bidi="ar"/>
              </w:rPr>
              <w:t>构件空气声隔声</w:t>
            </w:r>
          </w:p>
        </w:tc>
        <w:tc>
          <w:tcPr>
            <w:tcW w:w="1011" w:type="pct"/>
            <w:noWrap w:val="0"/>
            <w:vAlign w:val="center"/>
          </w:tcPr>
          <w:p>
            <w:pPr>
              <w:spacing w:line="240" w:lineRule="auto"/>
              <w:jc w:val="both"/>
              <w:rPr>
                <w:rFonts w:ascii="Times New Roman" w:hAnsi="Times New Roman" w:cs="Times New Roman"/>
                <w:szCs w:val="24"/>
                <w:lang w:bidi="ar"/>
              </w:rPr>
            </w:pPr>
            <w:r>
              <w:rPr>
                <w:rFonts w:ascii="Times New Roman" w:hAnsi="Times New Roman" w:cs="Times New Roman"/>
                <w:szCs w:val="24"/>
                <w:lang w:bidi="ar"/>
              </w:rPr>
              <w:t>空气声隔声单值评价量+频谱修正量</w:t>
            </w:r>
          </w:p>
        </w:tc>
        <w:tc>
          <w:tcPr>
            <w:tcW w:w="822" w:type="pct"/>
            <w:noWrap w:val="0"/>
            <w:vAlign w:val="center"/>
          </w:tcPr>
          <w:p>
            <w:pPr>
              <w:spacing w:line="240" w:lineRule="auto"/>
              <w:jc w:val="both"/>
              <w:rPr>
                <w:rFonts w:ascii="Times New Roman" w:hAnsi="Times New Roman" w:cs="Times New Roman"/>
                <w:szCs w:val="24"/>
              </w:rPr>
            </w:pPr>
          </w:p>
        </w:tc>
        <w:tc>
          <w:tcPr>
            <w:tcW w:w="631" w:type="pct"/>
            <w:noWrap w:val="0"/>
            <w:vAlign w:val="top"/>
          </w:tcPr>
          <w:p>
            <w:pPr>
              <w:spacing w:line="240" w:lineRule="auto"/>
              <w:jc w:val="both"/>
              <w:rPr>
                <w:rFonts w:ascii="Times New Roman" w:hAnsi="Times New Roman" w:cs="Times New Roman"/>
                <w:szCs w:val="21"/>
              </w:rPr>
            </w:pPr>
          </w:p>
        </w:tc>
        <w:tc>
          <w:tcPr>
            <w:tcW w:w="1004" w:type="pct"/>
            <w:noWrap w:val="0"/>
            <w:vAlign w:val="center"/>
          </w:tcPr>
          <w:p>
            <w:pPr>
              <w:spacing w:line="240" w:lineRule="auto"/>
              <w:jc w:val="left"/>
              <w:rPr>
                <w:rFonts w:ascii="Times New Roman" w:hAnsi="Times New Roman" w:cs="Times New Roman"/>
                <w:szCs w:val="24"/>
                <w:lang w:bidi="ar"/>
              </w:rPr>
            </w:pPr>
            <w:r>
              <w:rPr>
                <w:rFonts w:ascii="Times New Roman" w:hAnsi="Times New Roman" w:cs="Times New Roman"/>
                <w:szCs w:val="24"/>
                <w:lang w:bidi="ar"/>
              </w:rPr>
              <w:t>□符合  □不符合</w:t>
            </w:r>
          </w:p>
        </w:tc>
        <w:tc>
          <w:tcPr>
            <w:tcW w:w="550" w:type="pct"/>
            <w:noWrap w:val="0"/>
            <w:vAlign w:val="center"/>
          </w:tcPr>
          <w:p>
            <w:pPr>
              <w:spacing w:line="240" w:lineRule="auto"/>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416" w:type="pct"/>
            <w:noWrap w:val="0"/>
            <w:vAlign w:val="center"/>
          </w:tcPr>
          <w:p>
            <w:pPr>
              <w:spacing w:line="240" w:lineRule="auto"/>
              <w:jc w:val="center"/>
              <w:rPr>
                <w:rFonts w:ascii="Times New Roman" w:hAnsi="Times New Roman" w:cs="Times New Roman"/>
                <w:szCs w:val="24"/>
                <w:lang w:bidi="ar"/>
              </w:rPr>
            </w:pPr>
            <w:r>
              <w:rPr>
                <w:rFonts w:ascii="Times New Roman" w:hAnsi="Times New Roman" w:cs="Times New Roman"/>
                <w:szCs w:val="24"/>
                <w:lang w:bidi="ar"/>
              </w:rPr>
              <w:t>5.2.1</w:t>
            </w:r>
          </w:p>
        </w:tc>
        <w:tc>
          <w:tcPr>
            <w:tcW w:w="562" w:type="pct"/>
            <w:noWrap w:val="0"/>
            <w:vAlign w:val="center"/>
          </w:tcPr>
          <w:p>
            <w:pPr>
              <w:spacing w:line="240" w:lineRule="auto"/>
              <w:jc w:val="center"/>
              <w:rPr>
                <w:rFonts w:ascii="Times New Roman" w:hAnsi="Times New Roman" w:cs="Times New Roman"/>
                <w:szCs w:val="24"/>
                <w:lang w:bidi="ar"/>
              </w:rPr>
            </w:pPr>
            <w:r>
              <w:rPr>
                <w:rFonts w:ascii="Times New Roman" w:hAnsi="Times New Roman" w:cs="Times New Roman"/>
                <w:szCs w:val="24"/>
                <w:lang w:bidi="ar"/>
              </w:rPr>
              <w:t>室内采光系数</w:t>
            </w:r>
          </w:p>
        </w:tc>
        <w:tc>
          <w:tcPr>
            <w:tcW w:w="1011" w:type="pct"/>
            <w:noWrap w:val="0"/>
            <w:vAlign w:val="center"/>
          </w:tcPr>
          <w:p>
            <w:pPr>
              <w:spacing w:line="240" w:lineRule="auto"/>
              <w:jc w:val="both"/>
              <w:rPr>
                <w:rFonts w:ascii="Times New Roman" w:hAnsi="Times New Roman" w:cs="Times New Roman"/>
                <w:szCs w:val="24"/>
                <w:lang w:bidi="ar"/>
              </w:rPr>
            </w:pPr>
            <w:r>
              <w:rPr>
                <w:rFonts w:ascii="Times New Roman" w:hAnsi="Times New Roman" w:cs="Times New Roman"/>
                <w:szCs w:val="24"/>
                <w:lang w:bidi="ar"/>
              </w:rPr>
              <w:t>建筑室内采光系数</w:t>
            </w:r>
          </w:p>
        </w:tc>
        <w:tc>
          <w:tcPr>
            <w:tcW w:w="822" w:type="pct"/>
            <w:noWrap w:val="0"/>
            <w:vAlign w:val="center"/>
          </w:tcPr>
          <w:p>
            <w:pPr>
              <w:spacing w:line="240" w:lineRule="auto"/>
              <w:jc w:val="both"/>
              <w:rPr>
                <w:rFonts w:ascii="Times New Roman" w:hAnsi="Times New Roman" w:cs="Times New Roman"/>
                <w:szCs w:val="24"/>
              </w:rPr>
            </w:pPr>
          </w:p>
        </w:tc>
        <w:tc>
          <w:tcPr>
            <w:tcW w:w="631" w:type="pct"/>
            <w:noWrap w:val="0"/>
            <w:vAlign w:val="top"/>
          </w:tcPr>
          <w:p>
            <w:pPr>
              <w:spacing w:line="240" w:lineRule="auto"/>
              <w:jc w:val="both"/>
              <w:rPr>
                <w:rFonts w:ascii="Times New Roman" w:hAnsi="Times New Roman" w:cs="Times New Roman"/>
                <w:szCs w:val="21"/>
              </w:rPr>
            </w:pPr>
          </w:p>
        </w:tc>
        <w:tc>
          <w:tcPr>
            <w:tcW w:w="1004" w:type="pct"/>
            <w:noWrap w:val="0"/>
            <w:vAlign w:val="center"/>
          </w:tcPr>
          <w:p>
            <w:pPr>
              <w:spacing w:line="240" w:lineRule="auto"/>
              <w:jc w:val="left"/>
              <w:rPr>
                <w:rFonts w:ascii="Times New Roman" w:hAnsi="Times New Roman" w:cs="Times New Roman"/>
                <w:szCs w:val="24"/>
                <w:lang w:bidi="ar"/>
              </w:rPr>
            </w:pPr>
            <w:r>
              <w:rPr>
                <w:rFonts w:ascii="Times New Roman" w:hAnsi="Times New Roman" w:cs="Times New Roman"/>
                <w:szCs w:val="24"/>
                <w:lang w:bidi="ar"/>
              </w:rPr>
              <w:t>□符合  □不符合</w:t>
            </w:r>
          </w:p>
        </w:tc>
        <w:tc>
          <w:tcPr>
            <w:tcW w:w="550" w:type="pct"/>
            <w:noWrap w:val="0"/>
            <w:vAlign w:val="center"/>
          </w:tcPr>
          <w:p>
            <w:pPr>
              <w:spacing w:line="240" w:lineRule="auto"/>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416" w:type="pct"/>
            <w:noWrap w:val="0"/>
            <w:vAlign w:val="center"/>
          </w:tcPr>
          <w:p>
            <w:pPr>
              <w:spacing w:line="240" w:lineRule="auto"/>
              <w:jc w:val="center"/>
              <w:rPr>
                <w:rFonts w:ascii="Times New Roman" w:hAnsi="Times New Roman" w:cs="Times New Roman"/>
                <w:szCs w:val="24"/>
                <w:lang w:bidi="ar"/>
              </w:rPr>
            </w:pPr>
            <w:r>
              <w:rPr>
                <w:rFonts w:ascii="Times New Roman" w:hAnsi="Times New Roman" w:cs="Times New Roman"/>
                <w:szCs w:val="24"/>
                <w:lang w:bidi="ar"/>
              </w:rPr>
              <w:t>5.2.2</w:t>
            </w:r>
          </w:p>
        </w:tc>
        <w:tc>
          <w:tcPr>
            <w:tcW w:w="562" w:type="pct"/>
            <w:noWrap w:val="0"/>
            <w:vAlign w:val="center"/>
          </w:tcPr>
          <w:p>
            <w:pPr>
              <w:spacing w:line="240" w:lineRule="auto"/>
              <w:jc w:val="center"/>
              <w:rPr>
                <w:rFonts w:ascii="Times New Roman" w:hAnsi="Times New Roman" w:cs="Times New Roman"/>
                <w:szCs w:val="24"/>
                <w:lang w:bidi="ar"/>
              </w:rPr>
            </w:pPr>
            <w:r>
              <w:rPr>
                <w:rFonts w:ascii="Times New Roman" w:hAnsi="Times New Roman" w:cs="Times New Roman"/>
                <w:szCs w:val="24"/>
                <w:lang w:bidi="ar"/>
              </w:rPr>
              <w:t>建筑照明眩光</w:t>
            </w:r>
          </w:p>
        </w:tc>
        <w:tc>
          <w:tcPr>
            <w:tcW w:w="1011" w:type="pct"/>
            <w:noWrap w:val="0"/>
            <w:vAlign w:val="center"/>
          </w:tcPr>
          <w:p>
            <w:pPr>
              <w:spacing w:line="240" w:lineRule="auto"/>
              <w:jc w:val="both"/>
              <w:rPr>
                <w:rFonts w:ascii="Times New Roman" w:hAnsi="Times New Roman" w:cs="Times New Roman"/>
                <w:szCs w:val="24"/>
                <w:lang w:bidi="ar"/>
              </w:rPr>
            </w:pPr>
            <w:r>
              <w:rPr>
                <w:rFonts w:ascii="Times New Roman" w:hAnsi="Times New Roman" w:cs="Times New Roman"/>
                <w:szCs w:val="24"/>
                <w:lang w:bidi="ar"/>
              </w:rPr>
              <w:t>建筑照明眩光</w:t>
            </w:r>
          </w:p>
        </w:tc>
        <w:tc>
          <w:tcPr>
            <w:tcW w:w="822" w:type="pct"/>
            <w:noWrap w:val="0"/>
            <w:vAlign w:val="center"/>
          </w:tcPr>
          <w:p>
            <w:pPr>
              <w:spacing w:line="240" w:lineRule="auto"/>
              <w:jc w:val="both"/>
              <w:rPr>
                <w:rFonts w:ascii="Times New Roman" w:hAnsi="Times New Roman" w:cs="Times New Roman"/>
                <w:szCs w:val="24"/>
              </w:rPr>
            </w:pPr>
          </w:p>
        </w:tc>
        <w:tc>
          <w:tcPr>
            <w:tcW w:w="631" w:type="pct"/>
            <w:noWrap w:val="0"/>
            <w:vAlign w:val="top"/>
          </w:tcPr>
          <w:p>
            <w:pPr>
              <w:spacing w:line="240" w:lineRule="auto"/>
              <w:jc w:val="both"/>
              <w:rPr>
                <w:rFonts w:ascii="Times New Roman" w:hAnsi="Times New Roman" w:cs="Times New Roman"/>
                <w:szCs w:val="21"/>
              </w:rPr>
            </w:pPr>
          </w:p>
        </w:tc>
        <w:tc>
          <w:tcPr>
            <w:tcW w:w="1004" w:type="pct"/>
            <w:noWrap w:val="0"/>
            <w:vAlign w:val="center"/>
          </w:tcPr>
          <w:p>
            <w:pPr>
              <w:spacing w:line="240" w:lineRule="auto"/>
              <w:jc w:val="left"/>
              <w:rPr>
                <w:rFonts w:ascii="Times New Roman" w:hAnsi="Times New Roman" w:cs="Times New Roman"/>
                <w:szCs w:val="24"/>
                <w:lang w:bidi="ar"/>
              </w:rPr>
            </w:pPr>
            <w:r>
              <w:rPr>
                <w:rFonts w:ascii="Times New Roman" w:hAnsi="Times New Roman" w:cs="Times New Roman"/>
                <w:szCs w:val="24"/>
                <w:lang w:bidi="ar"/>
              </w:rPr>
              <w:t>□符合  □不符合</w:t>
            </w:r>
          </w:p>
        </w:tc>
        <w:tc>
          <w:tcPr>
            <w:tcW w:w="550" w:type="pct"/>
            <w:noWrap w:val="0"/>
            <w:vAlign w:val="center"/>
          </w:tcPr>
          <w:p>
            <w:pPr>
              <w:spacing w:line="240" w:lineRule="auto"/>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3" w:hRule="atLeast"/>
        </w:trPr>
        <w:tc>
          <w:tcPr>
            <w:tcW w:w="416" w:type="pct"/>
            <w:noWrap w:val="0"/>
            <w:vAlign w:val="center"/>
          </w:tcPr>
          <w:p>
            <w:pPr>
              <w:spacing w:line="240" w:lineRule="auto"/>
              <w:jc w:val="center"/>
              <w:rPr>
                <w:rFonts w:ascii="Times New Roman" w:hAnsi="Times New Roman" w:cs="Times New Roman"/>
                <w:szCs w:val="24"/>
                <w:lang w:bidi="ar"/>
              </w:rPr>
            </w:pPr>
            <w:r>
              <w:rPr>
                <w:rFonts w:ascii="Times New Roman" w:hAnsi="Times New Roman" w:cs="Times New Roman"/>
                <w:szCs w:val="24"/>
                <w:lang w:bidi="ar"/>
              </w:rPr>
              <w:t>5.2.3</w:t>
            </w:r>
          </w:p>
        </w:tc>
        <w:tc>
          <w:tcPr>
            <w:tcW w:w="562" w:type="pct"/>
            <w:noWrap w:val="0"/>
            <w:vAlign w:val="center"/>
          </w:tcPr>
          <w:p>
            <w:pPr>
              <w:spacing w:line="240" w:lineRule="auto"/>
              <w:jc w:val="center"/>
              <w:rPr>
                <w:rFonts w:ascii="Times New Roman" w:hAnsi="Times New Roman" w:cs="Times New Roman"/>
                <w:szCs w:val="24"/>
                <w:lang w:bidi="ar"/>
              </w:rPr>
            </w:pPr>
            <w:r>
              <w:rPr>
                <w:rFonts w:ascii="Times New Roman" w:hAnsi="Times New Roman" w:cs="Times New Roman"/>
                <w:szCs w:val="24"/>
                <w:lang w:bidi="ar"/>
              </w:rPr>
              <w:t>照度</w:t>
            </w:r>
          </w:p>
        </w:tc>
        <w:tc>
          <w:tcPr>
            <w:tcW w:w="1011" w:type="pct"/>
            <w:noWrap w:val="0"/>
            <w:vAlign w:val="center"/>
          </w:tcPr>
          <w:p>
            <w:pPr>
              <w:spacing w:line="240" w:lineRule="auto"/>
              <w:jc w:val="both"/>
              <w:rPr>
                <w:rFonts w:ascii="Times New Roman" w:hAnsi="Times New Roman" w:cs="Times New Roman"/>
                <w:szCs w:val="24"/>
                <w:lang w:bidi="ar"/>
              </w:rPr>
            </w:pPr>
            <w:r>
              <w:rPr>
                <w:rFonts w:ascii="Times New Roman" w:hAnsi="Times New Roman" w:cs="Times New Roman"/>
                <w:szCs w:val="24"/>
                <w:lang w:bidi="ar"/>
              </w:rPr>
              <w:t>建筑照度值</w:t>
            </w:r>
          </w:p>
        </w:tc>
        <w:tc>
          <w:tcPr>
            <w:tcW w:w="822" w:type="pct"/>
            <w:noWrap w:val="0"/>
            <w:vAlign w:val="center"/>
          </w:tcPr>
          <w:p>
            <w:pPr>
              <w:spacing w:line="240" w:lineRule="auto"/>
              <w:jc w:val="both"/>
              <w:rPr>
                <w:rFonts w:ascii="Times New Roman" w:hAnsi="Times New Roman" w:cs="Times New Roman"/>
                <w:szCs w:val="24"/>
              </w:rPr>
            </w:pPr>
          </w:p>
        </w:tc>
        <w:tc>
          <w:tcPr>
            <w:tcW w:w="631" w:type="pct"/>
            <w:noWrap w:val="0"/>
            <w:vAlign w:val="top"/>
          </w:tcPr>
          <w:p>
            <w:pPr>
              <w:spacing w:line="240" w:lineRule="auto"/>
              <w:jc w:val="both"/>
              <w:rPr>
                <w:rFonts w:ascii="Times New Roman" w:hAnsi="Times New Roman" w:cs="Times New Roman"/>
                <w:szCs w:val="21"/>
              </w:rPr>
            </w:pPr>
          </w:p>
        </w:tc>
        <w:tc>
          <w:tcPr>
            <w:tcW w:w="1004" w:type="pct"/>
            <w:noWrap w:val="0"/>
            <w:vAlign w:val="center"/>
          </w:tcPr>
          <w:p>
            <w:pPr>
              <w:spacing w:line="240" w:lineRule="auto"/>
              <w:jc w:val="left"/>
              <w:rPr>
                <w:rFonts w:ascii="Times New Roman" w:hAnsi="Times New Roman" w:cs="Times New Roman"/>
                <w:szCs w:val="24"/>
                <w:lang w:bidi="ar"/>
              </w:rPr>
            </w:pPr>
            <w:r>
              <w:rPr>
                <w:rFonts w:ascii="Times New Roman" w:hAnsi="Times New Roman" w:cs="Times New Roman"/>
                <w:szCs w:val="24"/>
                <w:lang w:bidi="ar"/>
              </w:rPr>
              <w:t>□符合  □不符合</w:t>
            </w:r>
          </w:p>
        </w:tc>
        <w:tc>
          <w:tcPr>
            <w:tcW w:w="550" w:type="pct"/>
            <w:noWrap w:val="0"/>
            <w:vAlign w:val="center"/>
          </w:tcPr>
          <w:p>
            <w:pPr>
              <w:spacing w:line="240" w:lineRule="auto"/>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416" w:type="pct"/>
            <w:noWrap w:val="0"/>
            <w:vAlign w:val="center"/>
          </w:tcPr>
          <w:p>
            <w:pPr>
              <w:spacing w:line="240" w:lineRule="auto"/>
              <w:jc w:val="center"/>
              <w:rPr>
                <w:rFonts w:ascii="Times New Roman" w:hAnsi="Times New Roman" w:cs="Times New Roman"/>
                <w:szCs w:val="24"/>
                <w:lang w:bidi="ar"/>
              </w:rPr>
            </w:pPr>
            <w:r>
              <w:rPr>
                <w:rFonts w:ascii="Times New Roman" w:hAnsi="Times New Roman" w:cs="Times New Roman"/>
                <w:szCs w:val="24"/>
                <w:lang w:bidi="ar"/>
              </w:rPr>
              <w:t>5.2.4</w:t>
            </w:r>
          </w:p>
        </w:tc>
        <w:tc>
          <w:tcPr>
            <w:tcW w:w="562" w:type="pct"/>
            <w:noWrap w:val="0"/>
            <w:vAlign w:val="center"/>
          </w:tcPr>
          <w:p>
            <w:pPr>
              <w:spacing w:line="240" w:lineRule="auto"/>
              <w:jc w:val="center"/>
              <w:rPr>
                <w:rFonts w:ascii="Times New Roman" w:hAnsi="Times New Roman" w:cs="Times New Roman"/>
                <w:szCs w:val="24"/>
                <w:lang w:bidi="ar"/>
              </w:rPr>
            </w:pPr>
            <w:r>
              <w:rPr>
                <w:rFonts w:ascii="Times New Roman" w:hAnsi="Times New Roman" w:cs="Times New Roman"/>
                <w:szCs w:val="24"/>
                <w:lang w:bidi="ar"/>
              </w:rPr>
              <w:t>一般显色指数</w:t>
            </w:r>
          </w:p>
        </w:tc>
        <w:tc>
          <w:tcPr>
            <w:tcW w:w="1011" w:type="pct"/>
            <w:noWrap w:val="0"/>
            <w:vAlign w:val="center"/>
          </w:tcPr>
          <w:p>
            <w:pPr>
              <w:spacing w:line="240" w:lineRule="auto"/>
              <w:jc w:val="both"/>
              <w:rPr>
                <w:rFonts w:ascii="Times New Roman" w:hAnsi="Times New Roman" w:cs="Times New Roman"/>
                <w:szCs w:val="24"/>
                <w:lang w:bidi="ar"/>
              </w:rPr>
            </w:pPr>
            <w:r>
              <w:rPr>
                <w:rFonts w:ascii="Times New Roman" w:hAnsi="Times New Roman" w:cs="Times New Roman"/>
                <w:szCs w:val="24"/>
                <w:lang w:bidi="ar"/>
              </w:rPr>
              <w:t>一般显色指数</w:t>
            </w:r>
          </w:p>
        </w:tc>
        <w:tc>
          <w:tcPr>
            <w:tcW w:w="822" w:type="pct"/>
            <w:noWrap w:val="0"/>
            <w:vAlign w:val="center"/>
          </w:tcPr>
          <w:p>
            <w:pPr>
              <w:spacing w:line="240" w:lineRule="auto"/>
              <w:jc w:val="both"/>
              <w:rPr>
                <w:rFonts w:ascii="Times New Roman" w:hAnsi="Times New Roman" w:cs="Times New Roman"/>
                <w:szCs w:val="24"/>
              </w:rPr>
            </w:pPr>
          </w:p>
        </w:tc>
        <w:tc>
          <w:tcPr>
            <w:tcW w:w="631" w:type="pct"/>
            <w:noWrap w:val="0"/>
            <w:vAlign w:val="top"/>
          </w:tcPr>
          <w:p>
            <w:pPr>
              <w:spacing w:line="240" w:lineRule="auto"/>
              <w:jc w:val="both"/>
              <w:rPr>
                <w:rFonts w:ascii="Times New Roman" w:hAnsi="Times New Roman" w:cs="Times New Roman"/>
                <w:szCs w:val="21"/>
              </w:rPr>
            </w:pPr>
          </w:p>
        </w:tc>
        <w:tc>
          <w:tcPr>
            <w:tcW w:w="1004" w:type="pct"/>
            <w:noWrap w:val="0"/>
            <w:vAlign w:val="center"/>
          </w:tcPr>
          <w:p>
            <w:pPr>
              <w:spacing w:line="240" w:lineRule="auto"/>
              <w:jc w:val="left"/>
              <w:rPr>
                <w:rFonts w:ascii="Times New Roman" w:hAnsi="Times New Roman" w:cs="Times New Roman"/>
                <w:szCs w:val="24"/>
                <w:lang w:bidi="ar"/>
              </w:rPr>
            </w:pPr>
            <w:r>
              <w:rPr>
                <w:rFonts w:ascii="Times New Roman" w:hAnsi="Times New Roman" w:cs="Times New Roman"/>
                <w:szCs w:val="24"/>
                <w:lang w:bidi="ar"/>
              </w:rPr>
              <w:t>□符合  □不符合</w:t>
            </w:r>
          </w:p>
        </w:tc>
        <w:tc>
          <w:tcPr>
            <w:tcW w:w="550" w:type="pct"/>
            <w:noWrap w:val="0"/>
            <w:vAlign w:val="center"/>
          </w:tcPr>
          <w:p>
            <w:pPr>
              <w:spacing w:line="240" w:lineRule="auto"/>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416" w:type="pct"/>
            <w:noWrap w:val="0"/>
            <w:vAlign w:val="center"/>
          </w:tcPr>
          <w:p>
            <w:pPr>
              <w:spacing w:line="240" w:lineRule="auto"/>
              <w:jc w:val="center"/>
              <w:rPr>
                <w:rFonts w:ascii="Times New Roman" w:hAnsi="Times New Roman" w:cs="Times New Roman"/>
                <w:szCs w:val="24"/>
                <w:lang w:bidi="ar"/>
              </w:rPr>
            </w:pPr>
            <w:r>
              <w:rPr>
                <w:rFonts w:ascii="Times New Roman" w:hAnsi="Times New Roman" w:cs="Times New Roman"/>
                <w:szCs w:val="24"/>
                <w:lang w:bidi="ar"/>
              </w:rPr>
              <w:t>5.2.5</w:t>
            </w:r>
          </w:p>
        </w:tc>
        <w:tc>
          <w:tcPr>
            <w:tcW w:w="562" w:type="pct"/>
            <w:noWrap w:val="0"/>
            <w:vAlign w:val="center"/>
          </w:tcPr>
          <w:p>
            <w:pPr>
              <w:spacing w:line="240" w:lineRule="auto"/>
              <w:jc w:val="center"/>
              <w:rPr>
                <w:rFonts w:ascii="Times New Roman" w:hAnsi="Times New Roman" w:cs="Times New Roman"/>
                <w:szCs w:val="24"/>
                <w:lang w:bidi="ar"/>
              </w:rPr>
            </w:pPr>
            <w:r>
              <w:rPr>
                <w:rFonts w:ascii="Times New Roman" w:hAnsi="Times New Roman" w:cs="Times New Roman"/>
                <w:szCs w:val="24"/>
                <w:lang w:bidi="ar"/>
              </w:rPr>
              <w:t>频闪效应可视度</w:t>
            </w:r>
          </w:p>
        </w:tc>
        <w:tc>
          <w:tcPr>
            <w:tcW w:w="1011" w:type="pct"/>
            <w:noWrap w:val="0"/>
            <w:vAlign w:val="center"/>
          </w:tcPr>
          <w:p>
            <w:pPr>
              <w:spacing w:line="240" w:lineRule="auto"/>
              <w:jc w:val="both"/>
              <w:rPr>
                <w:rFonts w:ascii="Times New Roman" w:hAnsi="Times New Roman" w:cs="Times New Roman"/>
                <w:szCs w:val="24"/>
                <w:lang w:bidi="ar"/>
              </w:rPr>
            </w:pPr>
            <w:r>
              <w:rPr>
                <w:rFonts w:ascii="Times New Roman" w:hAnsi="Times New Roman" w:cs="Times New Roman"/>
                <w:szCs w:val="24"/>
                <w:lang w:bidi="ar"/>
              </w:rPr>
              <w:t>频闪效应可视度</w:t>
            </w:r>
          </w:p>
        </w:tc>
        <w:tc>
          <w:tcPr>
            <w:tcW w:w="822" w:type="pct"/>
            <w:noWrap w:val="0"/>
            <w:vAlign w:val="center"/>
          </w:tcPr>
          <w:p>
            <w:pPr>
              <w:spacing w:line="240" w:lineRule="auto"/>
              <w:jc w:val="both"/>
              <w:rPr>
                <w:rFonts w:ascii="Times New Roman" w:hAnsi="Times New Roman" w:cs="Times New Roman"/>
                <w:szCs w:val="24"/>
              </w:rPr>
            </w:pPr>
          </w:p>
        </w:tc>
        <w:tc>
          <w:tcPr>
            <w:tcW w:w="631" w:type="pct"/>
            <w:noWrap w:val="0"/>
            <w:vAlign w:val="top"/>
          </w:tcPr>
          <w:p>
            <w:pPr>
              <w:spacing w:line="240" w:lineRule="auto"/>
              <w:jc w:val="both"/>
              <w:rPr>
                <w:rFonts w:ascii="Times New Roman" w:hAnsi="Times New Roman" w:cs="Times New Roman"/>
                <w:szCs w:val="21"/>
              </w:rPr>
            </w:pPr>
          </w:p>
        </w:tc>
        <w:tc>
          <w:tcPr>
            <w:tcW w:w="1004" w:type="pct"/>
            <w:noWrap w:val="0"/>
            <w:vAlign w:val="center"/>
          </w:tcPr>
          <w:p>
            <w:pPr>
              <w:spacing w:line="240" w:lineRule="auto"/>
              <w:jc w:val="left"/>
              <w:rPr>
                <w:rFonts w:ascii="Times New Roman" w:hAnsi="Times New Roman" w:cs="Times New Roman"/>
                <w:szCs w:val="24"/>
                <w:lang w:bidi="ar"/>
              </w:rPr>
            </w:pPr>
            <w:r>
              <w:rPr>
                <w:rFonts w:ascii="Times New Roman" w:hAnsi="Times New Roman" w:cs="Times New Roman"/>
                <w:szCs w:val="24"/>
                <w:lang w:bidi="ar"/>
              </w:rPr>
              <w:t>□符合  □不符合</w:t>
            </w:r>
          </w:p>
        </w:tc>
        <w:tc>
          <w:tcPr>
            <w:tcW w:w="550" w:type="pct"/>
            <w:noWrap w:val="0"/>
            <w:vAlign w:val="center"/>
          </w:tcPr>
          <w:p>
            <w:pPr>
              <w:spacing w:line="240" w:lineRule="auto"/>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416" w:type="pct"/>
            <w:vMerge w:val="restart"/>
            <w:noWrap w:val="0"/>
            <w:vAlign w:val="center"/>
          </w:tcPr>
          <w:p>
            <w:pPr>
              <w:spacing w:line="240" w:lineRule="auto"/>
              <w:jc w:val="center"/>
              <w:rPr>
                <w:rFonts w:ascii="Times New Roman" w:hAnsi="Times New Roman" w:cs="Times New Roman"/>
                <w:szCs w:val="24"/>
                <w:lang w:bidi="ar"/>
              </w:rPr>
            </w:pPr>
            <w:r>
              <w:rPr>
                <w:rFonts w:ascii="Times New Roman" w:hAnsi="Times New Roman" w:cs="Times New Roman"/>
                <w:szCs w:val="24"/>
                <w:lang w:bidi="ar"/>
              </w:rPr>
              <w:t>5.3.1</w:t>
            </w:r>
          </w:p>
        </w:tc>
        <w:tc>
          <w:tcPr>
            <w:tcW w:w="562" w:type="pct"/>
            <w:vMerge w:val="restart"/>
            <w:noWrap w:val="0"/>
            <w:vAlign w:val="center"/>
          </w:tcPr>
          <w:p>
            <w:pPr>
              <w:spacing w:line="240" w:lineRule="auto"/>
              <w:jc w:val="center"/>
              <w:rPr>
                <w:rFonts w:ascii="Times New Roman" w:hAnsi="Times New Roman" w:cs="Times New Roman"/>
                <w:szCs w:val="24"/>
                <w:lang w:bidi="ar"/>
              </w:rPr>
            </w:pPr>
            <w:r>
              <w:rPr>
                <w:rFonts w:ascii="Times New Roman" w:hAnsi="Times New Roman" w:cs="Times New Roman"/>
                <w:szCs w:val="24"/>
                <w:lang w:bidi="ar"/>
              </w:rPr>
              <w:t>室内热湿环境</w:t>
            </w:r>
          </w:p>
        </w:tc>
        <w:tc>
          <w:tcPr>
            <w:tcW w:w="1011" w:type="pct"/>
            <w:noWrap w:val="0"/>
            <w:vAlign w:val="center"/>
          </w:tcPr>
          <w:p>
            <w:pPr>
              <w:widowControl/>
              <w:spacing w:line="240" w:lineRule="auto"/>
              <w:jc w:val="left"/>
              <w:rPr>
                <w:rFonts w:ascii="Times New Roman" w:hAnsi="Times New Roman" w:cs="Times New Roman"/>
                <w:szCs w:val="24"/>
                <w:lang w:bidi="ar"/>
              </w:rPr>
            </w:pPr>
            <w:r>
              <w:rPr>
                <w:rFonts w:ascii="Times New Roman" w:hAnsi="Times New Roman" w:cs="Times New Roman"/>
                <w:kern w:val="0"/>
                <w:sz w:val="22"/>
                <w:szCs w:val="24"/>
                <w:lang w:bidi="ar"/>
              </w:rPr>
              <w:t>温度</w:t>
            </w:r>
          </w:p>
        </w:tc>
        <w:tc>
          <w:tcPr>
            <w:tcW w:w="822" w:type="pct"/>
            <w:noWrap w:val="0"/>
            <w:vAlign w:val="center"/>
          </w:tcPr>
          <w:p>
            <w:pPr>
              <w:spacing w:line="240" w:lineRule="auto"/>
              <w:jc w:val="both"/>
              <w:rPr>
                <w:rFonts w:ascii="Times New Roman" w:hAnsi="Times New Roman" w:cs="Times New Roman"/>
                <w:szCs w:val="24"/>
              </w:rPr>
            </w:pPr>
          </w:p>
        </w:tc>
        <w:tc>
          <w:tcPr>
            <w:tcW w:w="631" w:type="pct"/>
            <w:noWrap w:val="0"/>
            <w:vAlign w:val="top"/>
          </w:tcPr>
          <w:p>
            <w:pPr>
              <w:spacing w:line="240" w:lineRule="auto"/>
              <w:jc w:val="both"/>
              <w:rPr>
                <w:rFonts w:ascii="Times New Roman" w:hAnsi="Times New Roman" w:cs="Times New Roman"/>
                <w:szCs w:val="21"/>
              </w:rPr>
            </w:pPr>
          </w:p>
        </w:tc>
        <w:tc>
          <w:tcPr>
            <w:tcW w:w="1004" w:type="pct"/>
            <w:noWrap w:val="0"/>
            <w:vAlign w:val="center"/>
          </w:tcPr>
          <w:p>
            <w:pPr>
              <w:spacing w:line="240" w:lineRule="auto"/>
              <w:jc w:val="left"/>
              <w:rPr>
                <w:rFonts w:ascii="Times New Roman" w:hAnsi="Times New Roman" w:cs="Times New Roman"/>
                <w:szCs w:val="24"/>
                <w:lang w:bidi="ar"/>
              </w:rPr>
            </w:pPr>
            <w:r>
              <w:rPr>
                <w:rFonts w:ascii="Times New Roman" w:hAnsi="Times New Roman" w:cs="Times New Roman"/>
                <w:szCs w:val="24"/>
                <w:lang w:bidi="ar"/>
              </w:rPr>
              <w:t>□符合  □不符合</w:t>
            </w:r>
          </w:p>
        </w:tc>
        <w:tc>
          <w:tcPr>
            <w:tcW w:w="550" w:type="pct"/>
            <w:noWrap w:val="0"/>
            <w:vAlign w:val="center"/>
          </w:tcPr>
          <w:p>
            <w:pPr>
              <w:spacing w:line="240" w:lineRule="auto"/>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416" w:type="pct"/>
            <w:vMerge w:val="continue"/>
            <w:noWrap w:val="0"/>
            <w:vAlign w:val="center"/>
          </w:tcPr>
          <w:p>
            <w:pPr>
              <w:spacing w:line="240" w:lineRule="auto"/>
              <w:jc w:val="center"/>
              <w:rPr>
                <w:rFonts w:ascii="Times New Roman" w:hAnsi="Times New Roman" w:cs="Times New Roman"/>
                <w:szCs w:val="24"/>
                <w:lang w:bidi="ar"/>
              </w:rPr>
            </w:pPr>
          </w:p>
        </w:tc>
        <w:tc>
          <w:tcPr>
            <w:tcW w:w="562" w:type="pct"/>
            <w:vMerge w:val="continue"/>
            <w:noWrap w:val="0"/>
            <w:vAlign w:val="center"/>
          </w:tcPr>
          <w:p>
            <w:pPr>
              <w:spacing w:line="240" w:lineRule="auto"/>
              <w:jc w:val="center"/>
              <w:rPr>
                <w:rFonts w:ascii="Times New Roman" w:hAnsi="Times New Roman" w:cs="Times New Roman"/>
                <w:szCs w:val="24"/>
                <w:lang w:bidi="ar"/>
              </w:rPr>
            </w:pPr>
          </w:p>
        </w:tc>
        <w:tc>
          <w:tcPr>
            <w:tcW w:w="1011" w:type="pct"/>
            <w:noWrap w:val="0"/>
            <w:vAlign w:val="center"/>
          </w:tcPr>
          <w:p>
            <w:pPr>
              <w:widowControl/>
              <w:spacing w:line="240" w:lineRule="auto"/>
              <w:jc w:val="left"/>
              <w:rPr>
                <w:rFonts w:ascii="Times New Roman" w:hAnsi="Times New Roman" w:cs="Times New Roman"/>
                <w:szCs w:val="24"/>
                <w:lang w:bidi="ar"/>
              </w:rPr>
            </w:pPr>
            <w:r>
              <w:rPr>
                <w:rFonts w:ascii="Times New Roman" w:hAnsi="Times New Roman" w:cs="Times New Roman"/>
                <w:kern w:val="0"/>
                <w:sz w:val="22"/>
                <w:szCs w:val="24"/>
                <w:lang w:bidi="ar"/>
              </w:rPr>
              <w:t>相对湿度</w:t>
            </w:r>
          </w:p>
        </w:tc>
        <w:tc>
          <w:tcPr>
            <w:tcW w:w="822" w:type="pct"/>
            <w:noWrap w:val="0"/>
            <w:vAlign w:val="center"/>
          </w:tcPr>
          <w:p>
            <w:pPr>
              <w:spacing w:line="240" w:lineRule="auto"/>
              <w:jc w:val="both"/>
              <w:rPr>
                <w:rFonts w:ascii="Times New Roman" w:hAnsi="Times New Roman" w:cs="Times New Roman"/>
                <w:szCs w:val="24"/>
              </w:rPr>
            </w:pPr>
          </w:p>
        </w:tc>
        <w:tc>
          <w:tcPr>
            <w:tcW w:w="631" w:type="pct"/>
            <w:noWrap w:val="0"/>
            <w:vAlign w:val="top"/>
          </w:tcPr>
          <w:p>
            <w:pPr>
              <w:spacing w:line="240" w:lineRule="auto"/>
              <w:jc w:val="both"/>
              <w:rPr>
                <w:rFonts w:ascii="Times New Roman" w:hAnsi="Times New Roman" w:cs="Times New Roman"/>
                <w:szCs w:val="21"/>
              </w:rPr>
            </w:pPr>
          </w:p>
        </w:tc>
        <w:tc>
          <w:tcPr>
            <w:tcW w:w="1004" w:type="pct"/>
            <w:noWrap w:val="0"/>
            <w:vAlign w:val="center"/>
          </w:tcPr>
          <w:p>
            <w:pPr>
              <w:spacing w:line="240" w:lineRule="auto"/>
              <w:jc w:val="left"/>
              <w:rPr>
                <w:rFonts w:ascii="Times New Roman" w:hAnsi="Times New Roman" w:cs="Times New Roman"/>
                <w:szCs w:val="24"/>
                <w:lang w:bidi="ar"/>
              </w:rPr>
            </w:pPr>
            <w:r>
              <w:rPr>
                <w:rFonts w:ascii="Times New Roman" w:hAnsi="Times New Roman" w:cs="Times New Roman"/>
                <w:szCs w:val="24"/>
                <w:lang w:bidi="ar"/>
              </w:rPr>
              <w:t>□符合  □不符合</w:t>
            </w:r>
          </w:p>
        </w:tc>
        <w:tc>
          <w:tcPr>
            <w:tcW w:w="550" w:type="pct"/>
            <w:noWrap w:val="0"/>
            <w:vAlign w:val="center"/>
          </w:tcPr>
          <w:p>
            <w:pPr>
              <w:spacing w:line="240" w:lineRule="auto"/>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416" w:type="pct"/>
            <w:noWrap w:val="0"/>
            <w:vAlign w:val="center"/>
          </w:tcPr>
          <w:p>
            <w:pPr>
              <w:spacing w:line="240" w:lineRule="auto"/>
              <w:jc w:val="center"/>
              <w:rPr>
                <w:rFonts w:ascii="Times New Roman" w:hAnsi="Times New Roman" w:cs="Times New Roman"/>
                <w:szCs w:val="24"/>
                <w:lang w:bidi="ar"/>
              </w:rPr>
            </w:pPr>
            <w:r>
              <w:rPr>
                <w:rFonts w:ascii="Times New Roman" w:hAnsi="Times New Roman" w:cs="Times New Roman"/>
                <w:szCs w:val="24"/>
                <w:lang w:bidi="ar"/>
              </w:rPr>
              <w:t>5.4.1</w:t>
            </w:r>
          </w:p>
        </w:tc>
        <w:tc>
          <w:tcPr>
            <w:tcW w:w="562" w:type="pct"/>
            <w:noWrap w:val="0"/>
            <w:vAlign w:val="center"/>
          </w:tcPr>
          <w:p>
            <w:pPr>
              <w:spacing w:line="240" w:lineRule="auto"/>
              <w:jc w:val="center"/>
              <w:rPr>
                <w:rFonts w:ascii="Times New Roman" w:hAnsi="Times New Roman" w:cs="Times New Roman"/>
                <w:szCs w:val="24"/>
                <w:lang w:bidi="ar"/>
              </w:rPr>
            </w:pPr>
            <w:r>
              <w:rPr>
                <w:rFonts w:ascii="Times New Roman" w:hAnsi="Times New Roman" w:cs="Times New Roman"/>
                <w:szCs w:val="24"/>
                <w:lang w:bidi="ar"/>
              </w:rPr>
              <w:t>新风量</w:t>
            </w:r>
          </w:p>
        </w:tc>
        <w:tc>
          <w:tcPr>
            <w:tcW w:w="1011" w:type="pct"/>
            <w:noWrap w:val="0"/>
            <w:vAlign w:val="center"/>
          </w:tcPr>
          <w:p>
            <w:pPr>
              <w:widowControl/>
              <w:spacing w:line="240" w:lineRule="auto"/>
              <w:jc w:val="left"/>
              <w:rPr>
                <w:rFonts w:ascii="Times New Roman" w:hAnsi="Times New Roman" w:cs="Times New Roman"/>
                <w:kern w:val="0"/>
                <w:sz w:val="22"/>
                <w:szCs w:val="24"/>
                <w:lang w:bidi="ar"/>
              </w:rPr>
            </w:pPr>
            <w:r>
              <w:rPr>
                <w:rFonts w:ascii="Times New Roman" w:hAnsi="Times New Roman" w:cs="Times New Roman"/>
                <w:kern w:val="0"/>
                <w:sz w:val="22"/>
                <w:szCs w:val="24"/>
                <w:lang w:bidi="ar"/>
              </w:rPr>
              <w:t>组合式空调新风量</w:t>
            </w:r>
          </w:p>
        </w:tc>
        <w:tc>
          <w:tcPr>
            <w:tcW w:w="822" w:type="pct"/>
            <w:noWrap w:val="0"/>
            <w:vAlign w:val="center"/>
          </w:tcPr>
          <w:p>
            <w:pPr>
              <w:spacing w:line="240" w:lineRule="auto"/>
              <w:jc w:val="both"/>
              <w:rPr>
                <w:rFonts w:ascii="Times New Roman" w:hAnsi="Times New Roman" w:cs="Times New Roman"/>
                <w:szCs w:val="24"/>
              </w:rPr>
            </w:pPr>
          </w:p>
        </w:tc>
        <w:tc>
          <w:tcPr>
            <w:tcW w:w="631" w:type="pct"/>
            <w:noWrap w:val="0"/>
            <w:vAlign w:val="top"/>
          </w:tcPr>
          <w:p>
            <w:pPr>
              <w:spacing w:line="240" w:lineRule="auto"/>
              <w:jc w:val="both"/>
              <w:rPr>
                <w:rFonts w:ascii="Times New Roman" w:hAnsi="Times New Roman" w:cs="Times New Roman"/>
                <w:szCs w:val="21"/>
              </w:rPr>
            </w:pPr>
          </w:p>
        </w:tc>
        <w:tc>
          <w:tcPr>
            <w:tcW w:w="1004" w:type="pct"/>
            <w:noWrap w:val="0"/>
            <w:vAlign w:val="center"/>
          </w:tcPr>
          <w:p>
            <w:pPr>
              <w:spacing w:line="240" w:lineRule="auto"/>
              <w:jc w:val="left"/>
              <w:rPr>
                <w:rFonts w:ascii="Times New Roman" w:hAnsi="Times New Roman" w:cs="Times New Roman"/>
                <w:szCs w:val="24"/>
                <w:lang w:bidi="ar"/>
              </w:rPr>
            </w:pPr>
            <w:r>
              <w:rPr>
                <w:rFonts w:ascii="Times New Roman" w:hAnsi="Times New Roman" w:cs="Times New Roman"/>
                <w:szCs w:val="24"/>
                <w:lang w:bidi="ar"/>
              </w:rPr>
              <w:t>□符合  □不符合</w:t>
            </w:r>
          </w:p>
        </w:tc>
        <w:tc>
          <w:tcPr>
            <w:tcW w:w="550" w:type="pct"/>
            <w:noWrap w:val="0"/>
            <w:vAlign w:val="center"/>
          </w:tcPr>
          <w:p>
            <w:pPr>
              <w:spacing w:line="240" w:lineRule="auto"/>
              <w:jc w:val="both"/>
              <w:rPr>
                <w:rFonts w:ascii="Times New Roman" w:hAnsi="Times New Roman" w:cs="Times New Roman"/>
                <w:szCs w:val="24"/>
              </w:rPr>
            </w:pPr>
          </w:p>
        </w:tc>
      </w:tr>
    </w:tbl>
    <w:p>
      <w:pPr>
        <w:spacing w:line="240" w:lineRule="auto"/>
        <w:jc w:val="right"/>
        <w:rPr>
          <w:rFonts w:ascii="Times New Roman" w:hAnsi="Times New Roman" w:eastAsia="黑体" w:cs="Times New Roman"/>
          <w:szCs w:val="24"/>
          <w:lang w:val="zh-CN"/>
        </w:rPr>
      </w:pPr>
    </w:p>
    <w:p>
      <w:pPr>
        <w:spacing w:line="240" w:lineRule="auto"/>
        <w:jc w:val="right"/>
        <w:rPr>
          <w:rFonts w:ascii="Times New Roman" w:hAnsi="Times New Roman" w:eastAsia="黑体" w:cs="Times New Roman"/>
          <w:szCs w:val="24"/>
          <w:lang w:val="zh-CN"/>
        </w:rPr>
      </w:pPr>
    </w:p>
    <w:p>
      <w:pPr>
        <w:spacing w:line="240" w:lineRule="auto"/>
        <w:jc w:val="right"/>
        <w:rPr>
          <w:rFonts w:ascii="Times New Roman" w:hAnsi="Times New Roman" w:eastAsia="黑体" w:cs="Times New Roman"/>
          <w:szCs w:val="24"/>
          <w:lang w:val="zh-CN"/>
        </w:rPr>
      </w:pPr>
    </w:p>
    <w:p>
      <w:pPr>
        <w:spacing w:line="240" w:lineRule="auto"/>
        <w:jc w:val="both"/>
        <w:rPr>
          <w:rFonts w:ascii="Times New Roman" w:hAnsi="Times New Roman" w:eastAsia="黑体" w:cs="Times New Roman"/>
          <w:szCs w:val="24"/>
          <w:lang w:val="zh-CN"/>
        </w:rPr>
      </w:pPr>
    </w:p>
    <w:p>
      <w:pPr>
        <w:spacing w:line="240" w:lineRule="auto"/>
        <w:jc w:val="right"/>
        <w:rPr>
          <w:rFonts w:ascii="Times New Roman" w:hAnsi="Times New Roman" w:eastAsia="黑体" w:cs="Times New Roman"/>
          <w:szCs w:val="24"/>
          <w:lang w:val="zh-CN"/>
        </w:rPr>
      </w:pPr>
      <w:r>
        <w:rPr>
          <w:rFonts w:ascii="Times New Roman" w:hAnsi="Times New Roman" w:eastAsia="黑体" w:cs="Times New Roman"/>
          <w:szCs w:val="24"/>
          <w:lang w:val="zh-CN"/>
        </w:rPr>
        <w:t>续表A.0.2-1</w:t>
      </w:r>
    </w:p>
    <w:tbl>
      <w:tblPr>
        <w:tblStyle w:val="15"/>
        <w:tblW w:w="493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9"/>
        <w:gridCol w:w="1107"/>
        <w:gridCol w:w="1857"/>
        <w:gridCol w:w="1469"/>
        <w:gridCol w:w="1302"/>
        <w:gridCol w:w="1975"/>
        <w:gridCol w:w="8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405" w:type="pct"/>
            <w:noWrap w:val="0"/>
            <w:vAlign w:val="center"/>
          </w:tcPr>
          <w:p>
            <w:pPr>
              <w:spacing w:line="240" w:lineRule="auto"/>
              <w:jc w:val="both"/>
              <w:rPr>
                <w:rFonts w:ascii="Times New Roman" w:hAnsi="Times New Roman" w:cs="Times New Roman"/>
                <w:szCs w:val="24"/>
              </w:rPr>
            </w:pPr>
            <w:r>
              <w:rPr>
                <w:rFonts w:ascii="Times New Roman" w:hAnsi="Times New Roman" w:cs="Times New Roman"/>
                <w:szCs w:val="24"/>
              </w:rPr>
              <w:t>条文号</w:t>
            </w:r>
          </w:p>
        </w:tc>
        <w:tc>
          <w:tcPr>
            <w:tcW w:w="591" w:type="pc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检验参数</w:t>
            </w:r>
          </w:p>
        </w:tc>
        <w:tc>
          <w:tcPr>
            <w:tcW w:w="991" w:type="pc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检验内容</w:t>
            </w:r>
          </w:p>
        </w:tc>
        <w:tc>
          <w:tcPr>
            <w:tcW w:w="784" w:type="pc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实测结果</w:t>
            </w:r>
          </w:p>
        </w:tc>
        <w:tc>
          <w:tcPr>
            <w:tcW w:w="695" w:type="pc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1"/>
              </w:rPr>
              <w:t>标准或</w:t>
            </w:r>
            <w:r>
              <w:rPr>
                <w:rFonts w:ascii="Times New Roman" w:hAnsi="Times New Roman" w:cs="Times New Roman"/>
                <w:szCs w:val="24"/>
              </w:rPr>
              <w:t>设计要求值</w:t>
            </w:r>
          </w:p>
        </w:tc>
        <w:tc>
          <w:tcPr>
            <w:tcW w:w="1054" w:type="pct"/>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 xml:space="preserve">检验结论 </w:t>
            </w:r>
          </w:p>
        </w:tc>
        <w:tc>
          <w:tcPr>
            <w:tcW w:w="476" w:type="pc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05" w:type="pct"/>
            <w:vMerge w:val="restar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lang w:bidi="ar"/>
              </w:rPr>
              <w:t>5.4.2</w:t>
            </w:r>
          </w:p>
        </w:tc>
        <w:tc>
          <w:tcPr>
            <w:tcW w:w="591" w:type="pct"/>
            <w:vMerge w:val="restar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lang w:bidi="ar"/>
              </w:rPr>
              <w:t>室内空气污染物浓度</w:t>
            </w:r>
          </w:p>
        </w:tc>
        <w:tc>
          <w:tcPr>
            <w:tcW w:w="991" w:type="pct"/>
            <w:noWrap w:val="0"/>
            <w:vAlign w:val="center"/>
          </w:tcPr>
          <w:p>
            <w:pPr>
              <w:widowControl/>
              <w:spacing w:line="240" w:lineRule="auto"/>
              <w:jc w:val="both"/>
              <w:rPr>
                <w:rFonts w:ascii="Times New Roman" w:hAnsi="Times New Roman" w:cs="Times New Roman"/>
                <w:szCs w:val="24"/>
              </w:rPr>
            </w:pPr>
            <w:r>
              <w:rPr>
                <w:rFonts w:ascii="Times New Roman" w:hAnsi="Times New Roman" w:cs="Times New Roman"/>
                <w:szCs w:val="21"/>
                <w:lang w:bidi="ar"/>
              </w:rPr>
              <w:t>甲醛浓度</w:t>
            </w:r>
          </w:p>
        </w:tc>
        <w:tc>
          <w:tcPr>
            <w:tcW w:w="784" w:type="pct"/>
            <w:noWrap w:val="0"/>
            <w:vAlign w:val="center"/>
          </w:tcPr>
          <w:p>
            <w:pPr>
              <w:spacing w:line="240" w:lineRule="auto"/>
              <w:jc w:val="both"/>
              <w:rPr>
                <w:rFonts w:ascii="Times New Roman" w:hAnsi="Times New Roman" w:cs="Times New Roman"/>
                <w:szCs w:val="24"/>
              </w:rPr>
            </w:pPr>
          </w:p>
        </w:tc>
        <w:tc>
          <w:tcPr>
            <w:tcW w:w="695" w:type="pct"/>
            <w:noWrap w:val="0"/>
            <w:vAlign w:val="top"/>
          </w:tcPr>
          <w:p>
            <w:pPr>
              <w:spacing w:line="240" w:lineRule="auto"/>
              <w:jc w:val="both"/>
              <w:rPr>
                <w:rFonts w:ascii="Times New Roman" w:hAnsi="Times New Roman" w:cs="Times New Roman"/>
                <w:szCs w:val="21"/>
              </w:rPr>
            </w:pPr>
          </w:p>
        </w:tc>
        <w:tc>
          <w:tcPr>
            <w:tcW w:w="1054" w:type="pct"/>
            <w:noWrap w:val="0"/>
            <w:vAlign w:val="center"/>
          </w:tcPr>
          <w:p>
            <w:pPr>
              <w:spacing w:line="240" w:lineRule="auto"/>
              <w:jc w:val="left"/>
              <w:rPr>
                <w:rFonts w:ascii="Times New Roman" w:hAnsi="Times New Roman" w:cs="Times New Roman"/>
                <w:szCs w:val="21"/>
              </w:rPr>
            </w:pPr>
            <w:r>
              <w:rPr>
                <w:rFonts w:ascii="Times New Roman" w:hAnsi="Times New Roman" w:cs="Times New Roman"/>
                <w:szCs w:val="24"/>
                <w:lang w:bidi="ar"/>
              </w:rPr>
              <w:t>□符合  □不符合</w:t>
            </w:r>
          </w:p>
        </w:tc>
        <w:tc>
          <w:tcPr>
            <w:tcW w:w="476" w:type="pct"/>
            <w:noWrap w:val="0"/>
            <w:vAlign w:val="center"/>
          </w:tcPr>
          <w:p>
            <w:pPr>
              <w:spacing w:line="240" w:lineRule="auto"/>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05" w:type="pct"/>
            <w:vMerge w:val="continue"/>
            <w:noWrap w:val="0"/>
            <w:vAlign w:val="center"/>
          </w:tcPr>
          <w:p>
            <w:pPr>
              <w:spacing w:line="240" w:lineRule="auto"/>
              <w:jc w:val="center"/>
              <w:rPr>
                <w:rFonts w:ascii="Times New Roman" w:hAnsi="Times New Roman" w:cs="Times New Roman"/>
                <w:szCs w:val="24"/>
                <w:lang w:bidi="ar"/>
              </w:rPr>
            </w:pPr>
          </w:p>
        </w:tc>
        <w:tc>
          <w:tcPr>
            <w:tcW w:w="591" w:type="pct"/>
            <w:vMerge w:val="continue"/>
            <w:noWrap w:val="0"/>
            <w:vAlign w:val="center"/>
          </w:tcPr>
          <w:p>
            <w:pPr>
              <w:spacing w:line="240" w:lineRule="auto"/>
              <w:jc w:val="center"/>
              <w:rPr>
                <w:rFonts w:ascii="Times New Roman" w:hAnsi="Times New Roman" w:cs="Times New Roman"/>
                <w:szCs w:val="24"/>
                <w:lang w:bidi="ar"/>
              </w:rPr>
            </w:pPr>
          </w:p>
        </w:tc>
        <w:tc>
          <w:tcPr>
            <w:tcW w:w="991" w:type="pct"/>
            <w:noWrap w:val="0"/>
            <w:vAlign w:val="center"/>
          </w:tcPr>
          <w:p>
            <w:pPr>
              <w:widowControl/>
              <w:spacing w:line="240" w:lineRule="auto"/>
              <w:jc w:val="both"/>
              <w:rPr>
                <w:rFonts w:ascii="Times New Roman" w:hAnsi="Times New Roman" w:cs="Times New Roman"/>
                <w:szCs w:val="24"/>
              </w:rPr>
            </w:pPr>
            <w:r>
              <w:rPr>
                <w:rFonts w:ascii="Times New Roman" w:hAnsi="Times New Roman" w:cs="Times New Roman"/>
                <w:szCs w:val="21"/>
                <w:lang w:bidi="ar"/>
              </w:rPr>
              <w:t>苯浓度</w:t>
            </w:r>
          </w:p>
        </w:tc>
        <w:tc>
          <w:tcPr>
            <w:tcW w:w="784" w:type="pct"/>
            <w:noWrap w:val="0"/>
            <w:vAlign w:val="center"/>
          </w:tcPr>
          <w:p>
            <w:pPr>
              <w:spacing w:line="240" w:lineRule="auto"/>
              <w:jc w:val="both"/>
              <w:rPr>
                <w:rFonts w:ascii="Times New Roman" w:hAnsi="Times New Roman" w:cs="Times New Roman"/>
                <w:szCs w:val="24"/>
              </w:rPr>
            </w:pPr>
          </w:p>
        </w:tc>
        <w:tc>
          <w:tcPr>
            <w:tcW w:w="695" w:type="pct"/>
            <w:noWrap w:val="0"/>
            <w:vAlign w:val="top"/>
          </w:tcPr>
          <w:p>
            <w:pPr>
              <w:spacing w:line="240" w:lineRule="auto"/>
              <w:jc w:val="both"/>
              <w:rPr>
                <w:rFonts w:ascii="Times New Roman" w:hAnsi="Times New Roman" w:cs="Times New Roman"/>
                <w:szCs w:val="21"/>
              </w:rPr>
            </w:pPr>
          </w:p>
        </w:tc>
        <w:tc>
          <w:tcPr>
            <w:tcW w:w="1054" w:type="pct"/>
            <w:noWrap w:val="0"/>
            <w:vAlign w:val="center"/>
          </w:tcPr>
          <w:p>
            <w:pPr>
              <w:spacing w:line="240" w:lineRule="auto"/>
              <w:jc w:val="left"/>
              <w:rPr>
                <w:rFonts w:ascii="Times New Roman" w:hAnsi="Times New Roman" w:cs="Times New Roman"/>
                <w:szCs w:val="24"/>
              </w:rPr>
            </w:pPr>
            <w:r>
              <w:rPr>
                <w:rFonts w:ascii="Times New Roman" w:hAnsi="Times New Roman" w:cs="Times New Roman"/>
                <w:szCs w:val="24"/>
              </w:rPr>
              <w:t>□符合  □不符合</w:t>
            </w:r>
          </w:p>
        </w:tc>
        <w:tc>
          <w:tcPr>
            <w:tcW w:w="476" w:type="pct"/>
            <w:noWrap w:val="0"/>
            <w:vAlign w:val="center"/>
          </w:tcPr>
          <w:p>
            <w:pPr>
              <w:spacing w:line="240" w:lineRule="auto"/>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05" w:type="pct"/>
            <w:vMerge w:val="continue"/>
            <w:noWrap w:val="0"/>
            <w:vAlign w:val="center"/>
          </w:tcPr>
          <w:p>
            <w:pPr>
              <w:spacing w:line="240" w:lineRule="auto"/>
              <w:jc w:val="center"/>
              <w:rPr>
                <w:rFonts w:ascii="Times New Roman" w:hAnsi="Times New Roman" w:cs="Times New Roman"/>
                <w:szCs w:val="24"/>
                <w:lang w:bidi="ar"/>
              </w:rPr>
            </w:pPr>
          </w:p>
        </w:tc>
        <w:tc>
          <w:tcPr>
            <w:tcW w:w="591" w:type="pct"/>
            <w:vMerge w:val="continue"/>
            <w:noWrap w:val="0"/>
            <w:vAlign w:val="center"/>
          </w:tcPr>
          <w:p>
            <w:pPr>
              <w:spacing w:line="240" w:lineRule="auto"/>
              <w:jc w:val="center"/>
              <w:rPr>
                <w:rFonts w:ascii="Times New Roman" w:hAnsi="Times New Roman" w:cs="Times New Roman"/>
                <w:szCs w:val="24"/>
                <w:lang w:bidi="ar"/>
              </w:rPr>
            </w:pPr>
          </w:p>
        </w:tc>
        <w:tc>
          <w:tcPr>
            <w:tcW w:w="991" w:type="pct"/>
            <w:noWrap w:val="0"/>
            <w:vAlign w:val="center"/>
          </w:tcPr>
          <w:p>
            <w:pPr>
              <w:widowControl/>
              <w:spacing w:line="240" w:lineRule="auto"/>
              <w:jc w:val="both"/>
              <w:rPr>
                <w:rFonts w:ascii="Times New Roman" w:hAnsi="Times New Roman" w:cs="Times New Roman"/>
                <w:szCs w:val="24"/>
              </w:rPr>
            </w:pPr>
            <w:r>
              <w:rPr>
                <w:rFonts w:ascii="Times New Roman" w:hAnsi="Times New Roman" w:cs="Times New Roman"/>
                <w:szCs w:val="21"/>
                <w:lang w:bidi="ar"/>
              </w:rPr>
              <w:t>甲苯浓度</w:t>
            </w:r>
          </w:p>
        </w:tc>
        <w:tc>
          <w:tcPr>
            <w:tcW w:w="784" w:type="pct"/>
            <w:noWrap w:val="0"/>
            <w:vAlign w:val="center"/>
          </w:tcPr>
          <w:p>
            <w:pPr>
              <w:spacing w:line="240" w:lineRule="auto"/>
              <w:jc w:val="both"/>
              <w:rPr>
                <w:rFonts w:ascii="Times New Roman" w:hAnsi="Times New Roman" w:cs="Times New Roman"/>
                <w:szCs w:val="24"/>
              </w:rPr>
            </w:pPr>
          </w:p>
        </w:tc>
        <w:tc>
          <w:tcPr>
            <w:tcW w:w="695" w:type="pct"/>
            <w:noWrap w:val="0"/>
            <w:vAlign w:val="top"/>
          </w:tcPr>
          <w:p>
            <w:pPr>
              <w:spacing w:line="240" w:lineRule="auto"/>
              <w:jc w:val="both"/>
              <w:rPr>
                <w:rFonts w:ascii="Times New Roman" w:hAnsi="Times New Roman" w:cs="Times New Roman"/>
                <w:szCs w:val="21"/>
              </w:rPr>
            </w:pPr>
          </w:p>
        </w:tc>
        <w:tc>
          <w:tcPr>
            <w:tcW w:w="1054" w:type="pct"/>
            <w:noWrap w:val="0"/>
            <w:vAlign w:val="center"/>
          </w:tcPr>
          <w:p>
            <w:pPr>
              <w:spacing w:line="240" w:lineRule="auto"/>
              <w:jc w:val="left"/>
              <w:rPr>
                <w:rFonts w:ascii="Times New Roman" w:hAnsi="Times New Roman" w:cs="Times New Roman"/>
                <w:szCs w:val="24"/>
              </w:rPr>
            </w:pPr>
            <w:r>
              <w:rPr>
                <w:rFonts w:ascii="Times New Roman" w:hAnsi="Times New Roman" w:cs="Times New Roman"/>
                <w:szCs w:val="24"/>
              </w:rPr>
              <w:t>□符合  □不符合</w:t>
            </w:r>
          </w:p>
        </w:tc>
        <w:tc>
          <w:tcPr>
            <w:tcW w:w="476" w:type="pct"/>
            <w:noWrap w:val="0"/>
            <w:vAlign w:val="center"/>
          </w:tcPr>
          <w:p>
            <w:pPr>
              <w:spacing w:line="240" w:lineRule="auto"/>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05" w:type="pct"/>
            <w:vMerge w:val="continue"/>
            <w:noWrap w:val="0"/>
            <w:vAlign w:val="center"/>
          </w:tcPr>
          <w:p>
            <w:pPr>
              <w:spacing w:line="240" w:lineRule="auto"/>
              <w:jc w:val="center"/>
              <w:rPr>
                <w:rFonts w:ascii="Times New Roman" w:hAnsi="Times New Roman" w:cs="Times New Roman"/>
                <w:szCs w:val="24"/>
                <w:lang w:bidi="ar"/>
              </w:rPr>
            </w:pPr>
          </w:p>
        </w:tc>
        <w:tc>
          <w:tcPr>
            <w:tcW w:w="591" w:type="pct"/>
            <w:vMerge w:val="continue"/>
            <w:noWrap w:val="0"/>
            <w:vAlign w:val="center"/>
          </w:tcPr>
          <w:p>
            <w:pPr>
              <w:spacing w:line="240" w:lineRule="auto"/>
              <w:jc w:val="center"/>
              <w:rPr>
                <w:rFonts w:ascii="Times New Roman" w:hAnsi="Times New Roman" w:cs="Times New Roman"/>
                <w:szCs w:val="24"/>
                <w:lang w:bidi="ar"/>
              </w:rPr>
            </w:pPr>
          </w:p>
        </w:tc>
        <w:tc>
          <w:tcPr>
            <w:tcW w:w="991" w:type="pct"/>
            <w:noWrap w:val="0"/>
            <w:vAlign w:val="center"/>
          </w:tcPr>
          <w:p>
            <w:pPr>
              <w:widowControl/>
              <w:spacing w:line="240" w:lineRule="auto"/>
              <w:jc w:val="both"/>
              <w:rPr>
                <w:rFonts w:ascii="Times New Roman" w:hAnsi="Times New Roman" w:cs="Times New Roman"/>
                <w:szCs w:val="24"/>
              </w:rPr>
            </w:pPr>
            <w:r>
              <w:rPr>
                <w:rFonts w:ascii="Times New Roman" w:hAnsi="Times New Roman" w:cs="Times New Roman"/>
                <w:szCs w:val="21"/>
                <w:lang w:bidi="ar"/>
              </w:rPr>
              <w:t>二甲苯浓度</w:t>
            </w:r>
          </w:p>
        </w:tc>
        <w:tc>
          <w:tcPr>
            <w:tcW w:w="784" w:type="pct"/>
            <w:noWrap w:val="0"/>
            <w:vAlign w:val="center"/>
          </w:tcPr>
          <w:p>
            <w:pPr>
              <w:spacing w:line="240" w:lineRule="auto"/>
              <w:jc w:val="both"/>
              <w:rPr>
                <w:rFonts w:ascii="Times New Roman" w:hAnsi="Times New Roman" w:cs="Times New Roman"/>
                <w:szCs w:val="24"/>
              </w:rPr>
            </w:pPr>
          </w:p>
        </w:tc>
        <w:tc>
          <w:tcPr>
            <w:tcW w:w="695" w:type="pct"/>
            <w:noWrap w:val="0"/>
            <w:vAlign w:val="top"/>
          </w:tcPr>
          <w:p>
            <w:pPr>
              <w:spacing w:line="240" w:lineRule="auto"/>
              <w:jc w:val="both"/>
              <w:rPr>
                <w:rFonts w:ascii="Times New Roman" w:hAnsi="Times New Roman" w:cs="Times New Roman"/>
                <w:szCs w:val="21"/>
              </w:rPr>
            </w:pPr>
          </w:p>
        </w:tc>
        <w:tc>
          <w:tcPr>
            <w:tcW w:w="1054" w:type="pct"/>
            <w:noWrap w:val="0"/>
            <w:vAlign w:val="center"/>
          </w:tcPr>
          <w:p>
            <w:pPr>
              <w:spacing w:line="240" w:lineRule="auto"/>
              <w:jc w:val="left"/>
              <w:rPr>
                <w:rFonts w:ascii="Times New Roman" w:hAnsi="Times New Roman" w:cs="Times New Roman"/>
                <w:szCs w:val="24"/>
              </w:rPr>
            </w:pPr>
            <w:r>
              <w:rPr>
                <w:rFonts w:ascii="Times New Roman" w:hAnsi="Times New Roman" w:cs="Times New Roman"/>
                <w:szCs w:val="24"/>
              </w:rPr>
              <w:t>□符合  □不符合</w:t>
            </w:r>
          </w:p>
        </w:tc>
        <w:tc>
          <w:tcPr>
            <w:tcW w:w="476" w:type="pct"/>
            <w:noWrap w:val="0"/>
            <w:vAlign w:val="center"/>
          </w:tcPr>
          <w:p>
            <w:pPr>
              <w:spacing w:line="240" w:lineRule="auto"/>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05" w:type="pct"/>
            <w:vMerge w:val="continue"/>
            <w:noWrap w:val="0"/>
            <w:vAlign w:val="center"/>
          </w:tcPr>
          <w:p>
            <w:pPr>
              <w:spacing w:line="240" w:lineRule="auto"/>
              <w:jc w:val="center"/>
              <w:rPr>
                <w:rFonts w:ascii="Times New Roman" w:hAnsi="Times New Roman" w:cs="Times New Roman"/>
                <w:szCs w:val="24"/>
                <w:lang w:bidi="ar"/>
              </w:rPr>
            </w:pPr>
          </w:p>
        </w:tc>
        <w:tc>
          <w:tcPr>
            <w:tcW w:w="591" w:type="pct"/>
            <w:vMerge w:val="continue"/>
            <w:noWrap w:val="0"/>
            <w:vAlign w:val="center"/>
          </w:tcPr>
          <w:p>
            <w:pPr>
              <w:spacing w:line="240" w:lineRule="auto"/>
              <w:jc w:val="center"/>
              <w:rPr>
                <w:rFonts w:ascii="Times New Roman" w:hAnsi="Times New Roman" w:cs="Times New Roman"/>
                <w:szCs w:val="24"/>
                <w:lang w:bidi="ar"/>
              </w:rPr>
            </w:pPr>
          </w:p>
        </w:tc>
        <w:tc>
          <w:tcPr>
            <w:tcW w:w="991" w:type="pct"/>
            <w:noWrap w:val="0"/>
            <w:vAlign w:val="center"/>
          </w:tcPr>
          <w:p>
            <w:pPr>
              <w:widowControl/>
              <w:spacing w:line="240" w:lineRule="auto"/>
              <w:jc w:val="both"/>
              <w:rPr>
                <w:rFonts w:ascii="Times New Roman" w:hAnsi="Times New Roman" w:cs="Times New Roman"/>
                <w:szCs w:val="24"/>
              </w:rPr>
            </w:pPr>
            <w:r>
              <w:rPr>
                <w:rFonts w:ascii="Times New Roman" w:hAnsi="Times New Roman" w:cs="Times New Roman"/>
                <w:szCs w:val="21"/>
                <w:lang w:bidi="ar"/>
              </w:rPr>
              <w:t>总挥发性有机物浓度</w:t>
            </w:r>
          </w:p>
        </w:tc>
        <w:tc>
          <w:tcPr>
            <w:tcW w:w="784" w:type="pct"/>
            <w:noWrap w:val="0"/>
            <w:vAlign w:val="center"/>
          </w:tcPr>
          <w:p>
            <w:pPr>
              <w:spacing w:line="240" w:lineRule="auto"/>
              <w:jc w:val="both"/>
              <w:rPr>
                <w:rFonts w:ascii="Times New Roman" w:hAnsi="Times New Roman" w:cs="Times New Roman"/>
                <w:szCs w:val="24"/>
              </w:rPr>
            </w:pPr>
          </w:p>
        </w:tc>
        <w:tc>
          <w:tcPr>
            <w:tcW w:w="695" w:type="pct"/>
            <w:noWrap w:val="0"/>
            <w:vAlign w:val="top"/>
          </w:tcPr>
          <w:p>
            <w:pPr>
              <w:spacing w:line="240" w:lineRule="auto"/>
              <w:jc w:val="both"/>
              <w:rPr>
                <w:rFonts w:ascii="Times New Roman" w:hAnsi="Times New Roman" w:cs="Times New Roman"/>
                <w:szCs w:val="21"/>
              </w:rPr>
            </w:pPr>
          </w:p>
        </w:tc>
        <w:tc>
          <w:tcPr>
            <w:tcW w:w="1054" w:type="pct"/>
            <w:noWrap w:val="0"/>
            <w:vAlign w:val="center"/>
          </w:tcPr>
          <w:p>
            <w:pPr>
              <w:spacing w:line="240" w:lineRule="auto"/>
              <w:jc w:val="left"/>
              <w:rPr>
                <w:rFonts w:ascii="Times New Roman" w:hAnsi="Times New Roman" w:cs="Times New Roman"/>
                <w:szCs w:val="24"/>
              </w:rPr>
            </w:pPr>
            <w:r>
              <w:rPr>
                <w:rFonts w:ascii="Times New Roman" w:hAnsi="Times New Roman" w:cs="Times New Roman"/>
                <w:szCs w:val="24"/>
              </w:rPr>
              <w:t>□符合  □不符合</w:t>
            </w:r>
          </w:p>
        </w:tc>
        <w:tc>
          <w:tcPr>
            <w:tcW w:w="476" w:type="pct"/>
            <w:noWrap w:val="0"/>
            <w:vAlign w:val="center"/>
          </w:tcPr>
          <w:p>
            <w:pPr>
              <w:spacing w:line="240" w:lineRule="auto"/>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05" w:type="pct"/>
            <w:vMerge w:val="continue"/>
            <w:noWrap w:val="0"/>
            <w:vAlign w:val="center"/>
          </w:tcPr>
          <w:p>
            <w:pPr>
              <w:spacing w:line="240" w:lineRule="auto"/>
              <w:jc w:val="center"/>
              <w:rPr>
                <w:rFonts w:ascii="Times New Roman" w:hAnsi="Times New Roman" w:cs="Times New Roman"/>
                <w:szCs w:val="24"/>
                <w:lang w:bidi="ar"/>
              </w:rPr>
            </w:pPr>
          </w:p>
        </w:tc>
        <w:tc>
          <w:tcPr>
            <w:tcW w:w="591" w:type="pct"/>
            <w:vMerge w:val="continue"/>
            <w:noWrap w:val="0"/>
            <w:vAlign w:val="center"/>
          </w:tcPr>
          <w:p>
            <w:pPr>
              <w:spacing w:line="240" w:lineRule="auto"/>
              <w:jc w:val="center"/>
              <w:rPr>
                <w:rFonts w:ascii="Times New Roman" w:hAnsi="Times New Roman" w:cs="Times New Roman"/>
                <w:szCs w:val="24"/>
                <w:lang w:bidi="ar"/>
              </w:rPr>
            </w:pPr>
          </w:p>
        </w:tc>
        <w:tc>
          <w:tcPr>
            <w:tcW w:w="991" w:type="pct"/>
            <w:noWrap w:val="0"/>
            <w:vAlign w:val="center"/>
          </w:tcPr>
          <w:p>
            <w:pPr>
              <w:widowControl/>
              <w:spacing w:line="240" w:lineRule="auto"/>
              <w:jc w:val="both"/>
              <w:rPr>
                <w:rFonts w:ascii="Times New Roman" w:hAnsi="Times New Roman" w:cs="Times New Roman"/>
                <w:szCs w:val="24"/>
              </w:rPr>
            </w:pPr>
            <w:r>
              <w:rPr>
                <w:rFonts w:ascii="Times New Roman" w:hAnsi="Times New Roman" w:cs="Times New Roman"/>
                <w:szCs w:val="21"/>
                <w:lang w:bidi="ar"/>
              </w:rPr>
              <w:t>PM2.5</w:t>
            </w:r>
          </w:p>
        </w:tc>
        <w:tc>
          <w:tcPr>
            <w:tcW w:w="784" w:type="pct"/>
            <w:noWrap w:val="0"/>
            <w:vAlign w:val="center"/>
          </w:tcPr>
          <w:p>
            <w:pPr>
              <w:spacing w:line="240" w:lineRule="auto"/>
              <w:jc w:val="both"/>
              <w:rPr>
                <w:rFonts w:ascii="Times New Roman" w:hAnsi="Times New Roman" w:cs="Times New Roman"/>
                <w:szCs w:val="24"/>
              </w:rPr>
            </w:pPr>
          </w:p>
        </w:tc>
        <w:tc>
          <w:tcPr>
            <w:tcW w:w="695" w:type="pct"/>
            <w:noWrap w:val="0"/>
            <w:vAlign w:val="top"/>
          </w:tcPr>
          <w:p>
            <w:pPr>
              <w:spacing w:line="240" w:lineRule="auto"/>
              <w:jc w:val="both"/>
              <w:rPr>
                <w:rFonts w:ascii="Times New Roman" w:hAnsi="Times New Roman" w:cs="Times New Roman"/>
                <w:szCs w:val="21"/>
              </w:rPr>
            </w:pPr>
          </w:p>
        </w:tc>
        <w:tc>
          <w:tcPr>
            <w:tcW w:w="1054" w:type="pct"/>
            <w:noWrap w:val="0"/>
            <w:vAlign w:val="center"/>
          </w:tcPr>
          <w:p>
            <w:pPr>
              <w:spacing w:line="240" w:lineRule="auto"/>
              <w:jc w:val="left"/>
              <w:rPr>
                <w:rFonts w:ascii="Times New Roman" w:hAnsi="Times New Roman" w:cs="Times New Roman"/>
                <w:szCs w:val="24"/>
              </w:rPr>
            </w:pPr>
            <w:r>
              <w:rPr>
                <w:rFonts w:ascii="Times New Roman" w:hAnsi="Times New Roman" w:cs="Times New Roman"/>
                <w:szCs w:val="24"/>
              </w:rPr>
              <w:t>□符合  □不符合</w:t>
            </w:r>
          </w:p>
        </w:tc>
        <w:tc>
          <w:tcPr>
            <w:tcW w:w="476" w:type="pct"/>
            <w:noWrap w:val="0"/>
            <w:vAlign w:val="center"/>
          </w:tcPr>
          <w:p>
            <w:pPr>
              <w:spacing w:line="240" w:lineRule="auto"/>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05" w:type="pct"/>
            <w:vMerge w:val="continue"/>
            <w:noWrap w:val="0"/>
            <w:vAlign w:val="center"/>
          </w:tcPr>
          <w:p>
            <w:pPr>
              <w:spacing w:line="240" w:lineRule="auto"/>
              <w:jc w:val="center"/>
              <w:rPr>
                <w:rFonts w:ascii="Times New Roman" w:hAnsi="Times New Roman" w:cs="Times New Roman"/>
                <w:szCs w:val="24"/>
              </w:rPr>
            </w:pPr>
          </w:p>
        </w:tc>
        <w:tc>
          <w:tcPr>
            <w:tcW w:w="591" w:type="pct"/>
            <w:vMerge w:val="continue"/>
            <w:noWrap w:val="0"/>
            <w:vAlign w:val="center"/>
          </w:tcPr>
          <w:p>
            <w:pPr>
              <w:spacing w:line="240" w:lineRule="auto"/>
              <w:jc w:val="center"/>
              <w:rPr>
                <w:rFonts w:ascii="Times New Roman" w:hAnsi="Times New Roman" w:cs="Times New Roman"/>
                <w:szCs w:val="24"/>
              </w:rPr>
            </w:pPr>
          </w:p>
        </w:tc>
        <w:tc>
          <w:tcPr>
            <w:tcW w:w="991" w:type="pct"/>
            <w:noWrap w:val="0"/>
            <w:vAlign w:val="center"/>
          </w:tcPr>
          <w:p>
            <w:pPr>
              <w:widowControl/>
              <w:spacing w:line="240" w:lineRule="auto"/>
              <w:jc w:val="both"/>
              <w:rPr>
                <w:rFonts w:ascii="Times New Roman" w:hAnsi="Times New Roman" w:cs="Times New Roman"/>
                <w:szCs w:val="24"/>
              </w:rPr>
            </w:pPr>
            <w:r>
              <w:rPr>
                <w:rFonts w:ascii="Times New Roman" w:hAnsi="Times New Roman" w:cs="Times New Roman"/>
                <w:szCs w:val="21"/>
                <w:lang w:bidi="ar"/>
              </w:rPr>
              <w:t>氡浓度</w:t>
            </w:r>
          </w:p>
        </w:tc>
        <w:tc>
          <w:tcPr>
            <w:tcW w:w="784" w:type="pct"/>
            <w:noWrap w:val="0"/>
            <w:vAlign w:val="center"/>
          </w:tcPr>
          <w:p>
            <w:pPr>
              <w:spacing w:line="240" w:lineRule="auto"/>
              <w:jc w:val="center"/>
              <w:rPr>
                <w:rFonts w:ascii="Times New Roman" w:hAnsi="Times New Roman" w:cs="Times New Roman"/>
                <w:szCs w:val="24"/>
              </w:rPr>
            </w:pPr>
          </w:p>
        </w:tc>
        <w:tc>
          <w:tcPr>
            <w:tcW w:w="695" w:type="pct"/>
            <w:noWrap w:val="0"/>
            <w:vAlign w:val="center"/>
          </w:tcPr>
          <w:p>
            <w:pPr>
              <w:spacing w:line="240" w:lineRule="auto"/>
              <w:jc w:val="center"/>
              <w:rPr>
                <w:rFonts w:ascii="Times New Roman" w:hAnsi="Times New Roman" w:cs="Times New Roman"/>
                <w:szCs w:val="21"/>
              </w:rPr>
            </w:pPr>
          </w:p>
        </w:tc>
        <w:tc>
          <w:tcPr>
            <w:tcW w:w="1054" w:type="pct"/>
            <w:noWrap w:val="0"/>
            <w:vAlign w:val="center"/>
          </w:tcPr>
          <w:p>
            <w:pPr>
              <w:spacing w:line="240" w:lineRule="auto"/>
              <w:jc w:val="left"/>
              <w:rPr>
                <w:rFonts w:ascii="Times New Roman" w:hAnsi="Times New Roman" w:cs="Times New Roman"/>
                <w:szCs w:val="24"/>
              </w:rPr>
            </w:pPr>
            <w:r>
              <w:rPr>
                <w:rFonts w:ascii="Times New Roman" w:hAnsi="Times New Roman" w:cs="Times New Roman"/>
                <w:szCs w:val="24"/>
              </w:rPr>
              <w:t>□符合  □不符合</w:t>
            </w:r>
          </w:p>
        </w:tc>
        <w:tc>
          <w:tcPr>
            <w:tcW w:w="476" w:type="pct"/>
            <w:noWrap w:val="0"/>
            <w:vAlign w:val="center"/>
          </w:tcPr>
          <w:p>
            <w:pPr>
              <w:spacing w:line="240" w:lineRule="auto"/>
              <w:jc w:val="center"/>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05" w:type="pct"/>
            <w:vMerge w:val="continue"/>
            <w:noWrap w:val="0"/>
            <w:vAlign w:val="center"/>
          </w:tcPr>
          <w:p>
            <w:pPr>
              <w:spacing w:line="240" w:lineRule="auto"/>
              <w:jc w:val="center"/>
              <w:rPr>
                <w:rFonts w:ascii="Times New Roman" w:hAnsi="Times New Roman" w:cs="Times New Roman"/>
                <w:szCs w:val="24"/>
              </w:rPr>
            </w:pPr>
          </w:p>
        </w:tc>
        <w:tc>
          <w:tcPr>
            <w:tcW w:w="591" w:type="pct"/>
            <w:vMerge w:val="continue"/>
            <w:noWrap w:val="0"/>
            <w:vAlign w:val="center"/>
          </w:tcPr>
          <w:p>
            <w:pPr>
              <w:spacing w:line="240" w:lineRule="auto"/>
              <w:jc w:val="center"/>
              <w:rPr>
                <w:rFonts w:ascii="Times New Roman" w:hAnsi="Times New Roman" w:cs="Times New Roman"/>
                <w:szCs w:val="24"/>
              </w:rPr>
            </w:pPr>
          </w:p>
        </w:tc>
        <w:tc>
          <w:tcPr>
            <w:tcW w:w="991" w:type="pct"/>
            <w:noWrap w:val="0"/>
            <w:vAlign w:val="center"/>
          </w:tcPr>
          <w:p>
            <w:pPr>
              <w:widowControl/>
              <w:spacing w:line="240" w:lineRule="auto"/>
              <w:jc w:val="both"/>
              <w:rPr>
                <w:rFonts w:ascii="Times New Roman" w:hAnsi="Times New Roman" w:cs="Times New Roman"/>
                <w:szCs w:val="24"/>
              </w:rPr>
            </w:pPr>
            <w:r>
              <w:rPr>
                <w:rFonts w:ascii="Times New Roman" w:hAnsi="Times New Roman" w:cs="Times New Roman"/>
                <w:szCs w:val="21"/>
                <w:lang w:bidi="ar"/>
              </w:rPr>
              <w:t>氨浓度</w:t>
            </w:r>
          </w:p>
        </w:tc>
        <w:tc>
          <w:tcPr>
            <w:tcW w:w="784" w:type="pct"/>
            <w:noWrap w:val="0"/>
            <w:vAlign w:val="center"/>
          </w:tcPr>
          <w:p>
            <w:pPr>
              <w:spacing w:line="240" w:lineRule="auto"/>
              <w:jc w:val="center"/>
              <w:rPr>
                <w:rFonts w:ascii="Times New Roman" w:hAnsi="Times New Roman" w:cs="Times New Roman"/>
                <w:szCs w:val="24"/>
              </w:rPr>
            </w:pPr>
          </w:p>
        </w:tc>
        <w:tc>
          <w:tcPr>
            <w:tcW w:w="695" w:type="pct"/>
            <w:noWrap w:val="0"/>
            <w:vAlign w:val="center"/>
          </w:tcPr>
          <w:p>
            <w:pPr>
              <w:spacing w:line="240" w:lineRule="auto"/>
              <w:jc w:val="center"/>
              <w:rPr>
                <w:rFonts w:ascii="Times New Roman" w:hAnsi="Times New Roman" w:cs="Times New Roman"/>
                <w:szCs w:val="21"/>
              </w:rPr>
            </w:pPr>
          </w:p>
        </w:tc>
        <w:tc>
          <w:tcPr>
            <w:tcW w:w="1054" w:type="pct"/>
            <w:noWrap w:val="0"/>
            <w:vAlign w:val="center"/>
          </w:tcPr>
          <w:p>
            <w:pPr>
              <w:spacing w:line="240" w:lineRule="auto"/>
              <w:jc w:val="left"/>
              <w:rPr>
                <w:rFonts w:ascii="Times New Roman" w:hAnsi="Times New Roman" w:cs="Times New Roman"/>
                <w:szCs w:val="24"/>
              </w:rPr>
            </w:pPr>
            <w:r>
              <w:rPr>
                <w:rFonts w:ascii="Times New Roman" w:hAnsi="Times New Roman" w:cs="Times New Roman"/>
                <w:szCs w:val="24"/>
              </w:rPr>
              <w:t>□符合  □不符合</w:t>
            </w:r>
          </w:p>
        </w:tc>
        <w:tc>
          <w:tcPr>
            <w:tcW w:w="476" w:type="pct"/>
            <w:noWrap w:val="0"/>
            <w:vAlign w:val="center"/>
          </w:tcPr>
          <w:p>
            <w:pPr>
              <w:spacing w:line="240" w:lineRule="auto"/>
              <w:jc w:val="center"/>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405" w:type="pc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5.5.2</w:t>
            </w:r>
          </w:p>
        </w:tc>
        <w:tc>
          <w:tcPr>
            <w:tcW w:w="591" w:type="pc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lang w:bidi="ar"/>
              </w:rPr>
              <w:t>景观环境用非传统水源</w:t>
            </w:r>
          </w:p>
          <w:p>
            <w:pPr>
              <w:spacing w:line="240" w:lineRule="auto"/>
              <w:jc w:val="center"/>
              <w:rPr>
                <w:rFonts w:ascii="Times New Roman" w:hAnsi="Times New Roman" w:cs="Times New Roman"/>
                <w:szCs w:val="24"/>
              </w:rPr>
            </w:pPr>
            <w:r>
              <w:rPr>
                <w:rFonts w:ascii="Times New Roman" w:hAnsi="Times New Roman" w:cs="Times New Roman"/>
                <w:szCs w:val="24"/>
                <w:lang w:bidi="ar"/>
              </w:rPr>
              <w:t>供水水质</w:t>
            </w:r>
          </w:p>
        </w:tc>
        <w:tc>
          <w:tcPr>
            <w:tcW w:w="991" w:type="pct"/>
            <w:noWrap w:val="0"/>
            <w:vAlign w:val="center"/>
          </w:tcPr>
          <w:p>
            <w:pPr>
              <w:spacing w:line="240" w:lineRule="auto"/>
              <w:jc w:val="both"/>
              <w:rPr>
                <w:rFonts w:ascii="Times New Roman" w:hAnsi="Times New Roman" w:cs="Times New Roman"/>
                <w:szCs w:val="21"/>
                <w:lang w:bidi="ar"/>
              </w:rPr>
            </w:pPr>
            <w:r>
              <w:rPr>
                <w:rFonts w:ascii="Times New Roman" w:hAnsi="Times New Roman" w:cs="Times New Roman"/>
                <w:szCs w:val="24"/>
                <w:lang w:bidi="ar"/>
              </w:rPr>
              <w:t>非传统水源</w:t>
            </w:r>
            <w:r>
              <w:rPr>
                <w:rFonts w:ascii="Times New Roman" w:hAnsi="Times New Roman" w:cs="Times New Roman"/>
                <w:szCs w:val="21"/>
                <w:lang w:bidi="ar"/>
              </w:rPr>
              <w:t>供水水质</w:t>
            </w:r>
          </w:p>
        </w:tc>
        <w:tc>
          <w:tcPr>
            <w:tcW w:w="784" w:type="pct"/>
            <w:noWrap w:val="0"/>
            <w:vAlign w:val="center"/>
          </w:tcPr>
          <w:p>
            <w:pPr>
              <w:spacing w:line="240" w:lineRule="auto"/>
              <w:jc w:val="center"/>
              <w:rPr>
                <w:rFonts w:ascii="Times New Roman" w:hAnsi="Times New Roman" w:cs="Times New Roman"/>
                <w:szCs w:val="24"/>
              </w:rPr>
            </w:pPr>
          </w:p>
        </w:tc>
        <w:tc>
          <w:tcPr>
            <w:tcW w:w="695" w:type="pct"/>
            <w:noWrap w:val="0"/>
            <w:vAlign w:val="center"/>
          </w:tcPr>
          <w:p>
            <w:pPr>
              <w:spacing w:line="240" w:lineRule="auto"/>
              <w:jc w:val="center"/>
              <w:rPr>
                <w:rFonts w:ascii="Times New Roman" w:hAnsi="Times New Roman" w:cs="Times New Roman"/>
                <w:szCs w:val="21"/>
              </w:rPr>
            </w:pPr>
          </w:p>
        </w:tc>
        <w:tc>
          <w:tcPr>
            <w:tcW w:w="1054" w:type="pct"/>
            <w:noWrap w:val="0"/>
            <w:vAlign w:val="center"/>
          </w:tcPr>
          <w:p>
            <w:pPr>
              <w:spacing w:line="240" w:lineRule="auto"/>
              <w:jc w:val="left"/>
              <w:rPr>
                <w:rFonts w:ascii="Times New Roman" w:hAnsi="Times New Roman" w:cs="Times New Roman"/>
                <w:szCs w:val="21"/>
              </w:rPr>
            </w:pPr>
            <w:r>
              <w:rPr>
                <w:rFonts w:ascii="Times New Roman" w:hAnsi="Times New Roman" w:cs="Times New Roman"/>
                <w:szCs w:val="24"/>
              </w:rPr>
              <w:t>□符合  □不符合</w:t>
            </w:r>
          </w:p>
        </w:tc>
        <w:tc>
          <w:tcPr>
            <w:tcW w:w="476" w:type="pct"/>
            <w:noWrap w:val="0"/>
            <w:vAlign w:val="center"/>
          </w:tcPr>
          <w:p>
            <w:pPr>
              <w:spacing w:line="240" w:lineRule="auto"/>
              <w:jc w:val="center"/>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405" w:type="pc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5.5.3</w:t>
            </w:r>
          </w:p>
        </w:tc>
        <w:tc>
          <w:tcPr>
            <w:tcW w:w="591" w:type="pc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lang w:bidi="ar"/>
              </w:rPr>
              <w:t>城市杂用水非传统水源</w:t>
            </w:r>
          </w:p>
          <w:p>
            <w:pPr>
              <w:spacing w:line="240" w:lineRule="auto"/>
              <w:jc w:val="center"/>
              <w:rPr>
                <w:rFonts w:ascii="Times New Roman" w:hAnsi="Times New Roman" w:cs="Times New Roman"/>
                <w:szCs w:val="24"/>
              </w:rPr>
            </w:pPr>
            <w:r>
              <w:rPr>
                <w:rFonts w:ascii="Times New Roman" w:hAnsi="Times New Roman" w:cs="Times New Roman"/>
                <w:szCs w:val="24"/>
                <w:lang w:bidi="ar"/>
              </w:rPr>
              <w:t>供水水质</w:t>
            </w:r>
          </w:p>
        </w:tc>
        <w:tc>
          <w:tcPr>
            <w:tcW w:w="991" w:type="pct"/>
            <w:noWrap w:val="0"/>
            <w:vAlign w:val="center"/>
          </w:tcPr>
          <w:p>
            <w:pPr>
              <w:spacing w:line="240" w:lineRule="auto"/>
              <w:jc w:val="both"/>
              <w:rPr>
                <w:rFonts w:ascii="Times New Roman" w:hAnsi="Times New Roman" w:cs="Times New Roman"/>
                <w:szCs w:val="21"/>
                <w:lang w:bidi="ar"/>
              </w:rPr>
            </w:pPr>
            <w:r>
              <w:rPr>
                <w:rFonts w:ascii="Times New Roman" w:hAnsi="Times New Roman" w:cs="Times New Roman"/>
                <w:szCs w:val="24"/>
                <w:lang w:bidi="ar"/>
              </w:rPr>
              <w:t>非传统水源</w:t>
            </w:r>
            <w:r>
              <w:rPr>
                <w:rFonts w:ascii="Times New Roman" w:hAnsi="Times New Roman" w:cs="Times New Roman"/>
                <w:szCs w:val="21"/>
                <w:lang w:bidi="ar"/>
              </w:rPr>
              <w:t>供水水质</w:t>
            </w:r>
          </w:p>
        </w:tc>
        <w:tc>
          <w:tcPr>
            <w:tcW w:w="784" w:type="pct"/>
            <w:noWrap w:val="0"/>
            <w:vAlign w:val="center"/>
          </w:tcPr>
          <w:p>
            <w:pPr>
              <w:spacing w:line="240" w:lineRule="auto"/>
              <w:jc w:val="center"/>
              <w:rPr>
                <w:rFonts w:ascii="Times New Roman" w:hAnsi="Times New Roman" w:cs="Times New Roman"/>
                <w:szCs w:val="24"/>
              </w:rPr>
            </w:pPr>
          </w:p>
        </w:tc>
        <w:tc>
          <w:tcPr>
            <w:tcW w:w="695" w:type="pct"/>
            <w:noWrap w:val="0"/>
            <w:vAlign w:val="center"/>
          </w:tcPr>
          <w:p>
            <w:pPr>
              <w:spacing w:line="240" w:lineRule="auto"/>
              <w:jc w:val="center"/>
              <w:rPr>
                <w:rFonts w:ascii="Times New Roman" w:hAnsi="Times New Roman" w:cs="Times New Roman"/>
                <w:szCs w:val="21"/>
              </w:rPr>
            </w:pPr>
          </w:p>
        </w:tc>
        <w:tc>
          <w:tcPr>
            <w:tcW w:w="1054" w:type="pct"/>
            <w:noWrap w:val="0"/>
            <w:vAlign w:val="center"/>
          </w:tcPr>
          <w:p>
            <w:pPr>
              <w:spacing w:line="240" w:lineRule="auto"/>
              <w:jc w:val="left"/>
              <w:rPr>
                <w:rFonts w:ascii="Times New Roman" w:hAnsi="Times New Roman" w:cs="Times New Roman"/>
                <w:szCs w:val="21"/>
              </w:rPr>
            </w:pPr>
            <w:r>
              <w:rPr>
                <w:rFonts w:ascii="Times New Roman" w:hAnsi="Times New Roman" w:cs="Times New Roman"/>
                <w:szCs w:val="24"/>
              </w:rPr>
              <w:t>□符合  □不符合</w:t>
            </w:r>
          </w:p>
        </w:tc>
        <w:tc>
          <w:tcPr>
            <w:tcW w:w="476" w:type="pct"/>
            <w:noWrap w:val="0"/>
            <w:vAlign w:val="center"/>
          </w:tcPr>
          <w:p>
            <w:pPr>
              <w:spacing w:line="240" w:lineRule="auto"/>
              <w:jc w:val="center"/>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405" w:type="pc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5.5.4</w:t>
            </w:r>
          </w:p>
        </w:tc>
        <w:tc>
          <w:tcPr>
            <w:tcW w:w="591" w:type="pc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lang w:bidi="ar"/>
              </w:rPr>
              <w:t>冷却塔非传统水源</w:t>
            </w:r>
          </w:p>
          <w:p>
            <w:pPr>
              <w:spacing w:line="240" w:lineRule="auto"/>
              <w:jc w:val="center"/>
              <w:rPr>
                <w:rFonts w:ascii="Times New Roman" w:hAnsi="Times New Roman" w:cs="Times New Roman"/>
                <w:szCs w:val="24"/>
              </w:rPr>
            </w:pPr>
            <w:r>
              <w:rPr>
                <w:rFonts w:ascii="Times New Roman" w:hAnsi="Times New Roman" w:cs="Times New Roman"/>
                <w:szCs w:val="24"/>
                <w:lang w:bidi="ar"/>
              </w:rPr>
              <w:t>补水水质</w:t>
            </w:r>
          </w:p>
        </w:tc>
        <w:tc>
          <w:tcPr>
            <w:tcW w:w="991" w:type="pct"/>
            <w:noWrap w:val="0"/>
            <w:vAlign w:val="center"/>
          </w:tcPr>
          <w:p>
            <w:pPr>
              <w:spacing w:line="240" w:lineRule="auto"/>
              <w:jc w:val="both"/>
              <w:rPr>
                <w:rFonts w:ascii="Times New Roman" w:hAnsi="Times New Roman" w:cs="Times New Roman"/>
                <w:szCs w:val="21"/>
                <w:lang w:bidi="ar"/>
              </w:rPr>
            </w:pPr>
            <w:r>
              <w:rPr>
                <w:rFonts w:ascii="Times New Roman" w:hAnsi="Times New Roman" w:cs="Times New Roman"/>
                <w:szCs w:val="24"/>
                <w:lang w:bidi="ar"/>
              </w:rPr>
              <w:t>非传统水源</w:t>
            </w:r>
            <w:r>
              <w:rPr>
                <w:rFonts w:ascii="Times New Roman" w:hAnsi="Times New Roman" w:cs="Times New Roman"/>
                <w:szCs w:val="21"/>
                <w:lang w:bidi="ar"/>
              </w:rPr>
              <w:t>补水水质</w:t>
            </w:r>
          </w:p>
        </w:tc>
        <w:tc>
          <w:tcPr>
            <w:tcW w:w="784" w:type="pct"/>
            <w:noWrap w:val="0"/>
            <w:vAlign w:val="center"/>
          </w:tcPr>
          <w:p>
            <w:pPr>
              <w:spacing w:line="240" w:lineRule="auto"/>
              <w:jc w:val="center"/>
              <w:rPr>
                <w:rFonts w:ascii="Times New Roman" w:hAnsi="Times New Roman" w:cs="Times New Roman"/>
                <w:szCs w:val="24"/>
              </w:rPr>
            </w:pPr>
          </w:p>
        </w:tc>
        <w:tc>
          <w:tcPr>
            <w:tcW w:w="695" w:type="pct"/>
            <w:noWrap w:val="0"/>
            <w:vAlign w:val="center"/>
          </w:tcPr>
          <w:p>
            <w:pPr>
              <w:spacing w:line="240" w:lineRule="auto"/>
              <w:jc w:val="center"/>
              <w:rPr>
                <w:rFonts w:ascii="Times New Roman" w:hAnsi="Times New Roman" w:cs="Times New Roman"/>
                <w:szCs w:val="21"/>
              </w:rPr>
            </w:pPr>
          </w:p>
        </w:tc>
        <w:tc>
          <w:tcPr>
            <w:tcW w:w="1054" w:type="pct"/>
            <w:noWrap w:val="0"/>
            <w:vAlign w:val="center"/>
          </w:tcPr>
          <w:p>
            <w:pPr>
              <w:spacing w:line="240" w:lineRule="auto"/>
              <w:jc w:val="left"/>
              <w:rPr>
                <w:rFonts w:ascii="Times New Roman" w:hAnsi="Times New Roman" w:cs="Times New Roman"/>
                <w:szCs w:val="21"/>
              </w:rPr>
            </w:pPr>
            <w:r>
              <w:rPr>
                <w:rFonts w:ascii="Times New Roman" w:hAnsi="Times New Roman" w:cs="Times New Roman"/>
                <w:szCs w:val="24"/>
              </w:rPr>
              <w:t>□符合  □不符合</w:t>
            </w:r>
          </w:p>
        </w:tc>
        <w:tc>
          <w:tcPr>
            <w:tcW w:w="476" w:type="pct"/>
            <w:noWrap w:val="0"/>
            <w:vAlign w:val="center"/>
          </w:tcPr>
          <w:p>
            <w:pPr>
              <w:spacing w:line="240" w:lineRule="auto"/>
              <w:jc w:val="center"/>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405" w:type="pc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5.5.5</w:t>
            </w:r>
          </w:p>
        </w:tc>
        <w:tc>
          <w:tcPr>
            <w:tcW w:w="591" w:type="pc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2"/>
                <w:lang w:bidi="ar"/>
              </w:rPr>
              <w:t>自建污水处理设施水质</w:t>
            </w:r>
            <w:r>
              <w:rPr>
                <w:rFonts w:ascii="Times New Roman" w:hAnsi="Times New Roman" w:cs="Times New Roman"/>
                <w:szCs w:val="24"/>
                <w:lang w:bidi="ar"/>
              </w:rPr>
              <w:t>检验</w:t>
            </w:r>
          </w:p>
        </w:tc>
        <w:tc>
          <w:tcPr>
            <w:tcW w:w="991" w:type="pct"/>
            <w:noWrap w:val="0"/>
            <w:vAlign w:val="center"/>
          </w:tcPr>
          <w:p>
            <w:pPr>
              <w:spacing w:line="240" w:lineRule="auto"/>
              <w:jc w:val="both"/>
              <w:rPr>
                <w:rFonts w:ascii="Times New Roman" w:hAnsi="Times New Roman" w:cs="Times New Roman"/>
                <w:szCs w:val="21"/>
                <w:lang w:bidi="ar"/>
              </w:rPr>
            </w:pPr>
            <w:r>
              <w:rPr>
                <w:rFonts w:ascii="Times New Roman" w:hAnsi="Times New Roman" w:cs="Times New Roman"/>
                <w:szCs w:val="21"/>
                <w:lang w:bidi="ar"/>
              </w:rPr>
              <w:t>自建污水处理设施水质</w:t>
            </w:r>
          </w:p>
        </w:tc>
        <w:tc>
          <w:tcPr>
            <w:tcW w:w="784" w:type="pct"/>
            <w:noWrap w:val="0"/>
            <w:vAlign w:val="center"/>
          </w:tcPr>
          <w:p>
            <w:pPr>
              <w:spacing w:line="240" w:lineRule="auto"/>
              <w:jc w:val="center"/>
              <w:rPr>
                <w:rFonts w:ascii="Times New Roman" w:hAnsi="Times New Roman" w:cs="Times New Roman"/>
                <w:szCs w:val="24"/>
              </w:rPr>
            </w:pPr>
          </w:p>
        </w:tc>
        <w:tc>
          <w:tcPr>
            <w:tcW w:w="695" w:type="pct"/>
            <w:noWrap w:val="0"/>
            <w:vAlign w:val="center"/>
          </w:tcPr>
          <w:p>
            <w:pPr>
              <w:spacing w:line="240" w:lineRule="auto"/>
              <w:jc w:val="center"/>
              <w:rPr>
                <w:rFonts w:ascii="Times New Roman" w:hAnsi="Times New Roman" w:cs="Times New Roman"/>
                <w:szCs w:val="21"/>
              </w:rPr>
            </w:pPr>
          </w:p>
        </w:tc>
        <w:tc>
          <w:tcPr>
            <w:tcW w:w="1054" w:type="pct"/>
            <w:noWrap w:val="0"/>
            <w:vAlign w:val="center"/>
          </w:tcPr>
          <w:p>
            <w:pPr>
              <w:spacing w:line="240" w:lineRule="auto"/>
              <w:jc w:val="left"/>
              <w:rPr>
                <w:rFonts w:ascii="Times New Roman" w:hAnsi="Times New Roman" w:cs="Times New Roman"/>
                <w:szCs w:val="21"/>
              </w:rPr>
            </w:pPr>
            <w:r>
              <w:rPr>
                <w:rFonts w:ascii="Times New Roman" w:hAnsi="Times New Roman" w:cs="Times New Roman"/>
                <w:szCs w:val="24"/>
              </w:rPr>
              <w:t>□符合  □不符合</w:t>
            </w:r>
          </w:p>
        </w:tc>
        <w:tc>
          <w:tcPr>
            <w:tcW w:w="476" w:type="pct"/>
            <w:noWrap w:val="0"/>
            <w:vAlign w:val="center"/>
          </w:tcPr>
          <w:p>
            <w:pPr>
              <w:spacing w:line="240" w:lineRule="auto"/>
              <w:jc w:val="center"/>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405" w:type="pc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5.5.6</w:t>
            </w:r>
          </w:p>
        </w:tc>
        <w:tc>
          <w:tcPr>
            <w:tcW w:w="591" w:type="pc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2"/>
                <w:lang w:bidi="ar"/>
              </w:rPr>
              <w:t>生活污水排放水质</w:t>
            </w:r>
          </w:p>
        </w:tc>
        <w:tc>
          <w:tcPr>
            <w:tcW w:w="991" w:type="pct"/>
            <w:noWrap w:val="0"/>
            <w:vAlign w:val="center"/>
          </w:tcPr>
          <w:p>
            <w:pPr>
              <w:spacing w:line="240" w:lineRule="auto"/>
              <w:jc w:val="both"/>
              <w:rPr>
                <w:rFonts w:ascii="Times New Roman" w:hAnsi="Times New Roman" w:cs="Times New Roman"/>
                <w:szCs w:val="21"/>
                <w:lang w:bidi="ar"/>
              </w:rPr>
            </w:pPr>
            <w:r>
              <w:rPr>
                <w:rFonts w:ascii="Times New Roman" w:hAnsi="Times New Roman" w:cs="Times New Roman"/>
                <w:szCs w:val="21"/>
                <w:lang w:bidi="ar"/>
              </w:rPr>
              <w:t>排放水质</w:t>
            </w:r>
          </w:p>
        </w:tc>
        <w:tc>
          <w:tcPr>
            <w:tcW w:w="784" w:type="pct"/>
            <w:noWrap w:val="0"/>
            <w:vAlign w:val="center"/>
          </w:tcPr>
          <w:p>
            <w:pPr>
              <w:spacing w:line="240" w:lineRule="auto"/>
              <w:jc w:val="center"/>
              <w:rPr>
                <w:rFonts w:ascii="Times New Roman" w:hAnsi="Times New Roman" w:cs="Times New Roman"/>
                <w:szCs w:val="24"/>
              </w:rPr>
            </w:pPr>
          </w:p>
        </w:tc>
        <w:tc>
          <w:tcPr>
            <w:tcW w:w="695" w:type="pct"/>
            <w:noWrap w:val="0"/>
            <w:vAlign w:val="center"/>
          </w:tcPr>
          <w:p>
            <w:pPr>
              <w:spacing w:line="240" w:lineRule="auto"/>
              <w:jc w:val="center"/>
              <w:rPr>
                <w:rFonts w:ascii="Times New Roman" w:hAnsi="Times New Roman" w:cs="Times New Roman"/>
                <w:szCs w:val="21"/>
              </w:rPr>
            </w:pPr>
          </w:p>
        </w:tc>
        <w:tc>
          <w:tcPr>
            <w:tcW w:w="1054" w:type="pct"/>
            <w:noWrap w:val="0"/>
            <w:vAlign w:val="center"/>
          </w:tcPr>
          <w:p>
            <w:pPr>
              <w:spacing w:line="240" w:lineRule="auto"/>
              <w:jc w:val="left"/>
              <w:rPr>
                <w:rFonts w:ascii="Times New Roman" w:hAnsi="Times New Roman" w:cs="Times New Roman"/>
                <w:szCs w:val="21"/>
              </w:rPr>
            </w:pPr>
            <w:r>
              <w:rPr>
                <w:rFonts w:ascii="Times New Roman" w:hAnsi="Times New Roman" w:cs="Times New Roman"/>
                <w:szCs w:val="24"/>
              </w:rPr>
              <w:t>□符合  □不符合</w:t>
            </w:r>
          </w:p>
        </w:tc>
        <w:tc>
          <w:tcPr>
            <w:tcW w:w="476" w:type="pct"/>
            <w:noWrap w:val="0"/>
            <w:vAlign w:val="center"/>
          </w:tcPr>
          <w:p>
            <w:pPr>
              <w:spacing w:line="240" w:lineRule="auto"/>
              <w:jc w:val="center"/>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405" w:type="pct"/>
            <w:vMerge w:val="restar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5.5.7</w:t>
            </w:r>
          </w:p>
        </w:tc>
        <w:tc>
          <w:tcPr>
            <w:tcW w:w="591" w:type="pct"/>
            <w:vMerge w:val="restar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1"/>
                <w:lang w:bidi="ar"/>
              </w:rPr>
              <w:t>供水水质</w:t>
            </w:r>
          </w:p>
        </w:tc>
        <w:tc>
          <w:tcPr>
            <w:tcW w:w="991" w:type="pct"/>
            <w:noWrap w:val="0"/>
            <w:vAlign w:val="center"/>
          </w:tcPr>
          <w:p>
            <w:pPr>
              <w:spacing w:line="240" w:lineRule="auto"/>
              <w:jc w:val="both"/>
              <w:rPr>
                <w:rFonts w:ascii="Times New Roman" w:hAnsi="Times New Roman" w:cs="Times New Roman"/>
                <w:szCs w:val="21"/>
                <w:lang w:bidi="ar"/>
              </w:rPr>
            </w:pPr>
            <w:r>
              <w:rPr>
                <w:rFonts w:ascii="Times New Roman" w:hAnsi="Times New Roman" w:cs="Times New Roman"/>
                <w:szCs w:val="22"/>
                <w:lang w:bidi="ar"/>
              </w:rPr>
              <w:t>生活饮用水</w:t>
            </w:r>
          </w:p>
        </w:tc>
        <w:tc>
          <w:tcPr>
            <w:tcW w:w="784" w:type="pct"/>
            <w:noWrap w:val="0"/>
            <w:vAlign w:val="center"/>
          </w:tcPr>
          <w:p>
            <w:pPr>
              <w:spacing w:line="240" w:lineRule="auto"/>
              <w:jc w:val="center"/>
              <w:rPr>
                <w:rFonts w:ascii="Times New Roman" w:hAnsi="Times New Roman" w:cs="Times New Roman"/>
                <w:szCs w:val="24"/>
              </w:rPr>
            </w:pPr>
          </w:p>
        </w:tc>
        <w:tc>
          <w:tcPr>
            <w:tcW w:w="695" w:type="pct"/>
            <w:noWrap w:val="0"/>
            <w:vAlign w:val="center"/>
          </w:tcPr>
          <w:p>
            <w:pPr>
              <w:spacing w:line="240" w:lineRule="auto"/>
              <w:jc w:val="center"/>
              <w:rPr>
                <w:rFonts w:ascii="Times New Roman" w:hAnsi="Times New Roman" w:cs="Times New Roman"/>
                <w:szCs w:val="21"/>
              </w:rPr>
            </w:pPr>
          </w:p>
        </w:tc>
        <w:tc>
          <w:tcPr>
            <w:tcW w:w="1054" w:type="pct"/>
            <w:noWrap w:val="0"/>
            <w:vAlign w:val="center"/>
          </w:tcPr>
          <w:p>
            <w:pPr>
              <w:spacing w:line="240" w:lineRule="auto"/>
              <w:jc w:val="left"/>
              <w:rPr>
                <w:rFonts w:ascii="Times New Roman" w:hAnsi="Times New Roman" w:cs="Times New Roman"/>
                <w:szCs w:val="21"/>
              </w:rPr>
            </w:pPr>
            <w:r>
              <w:rPr>
                <w:rFonts w:ascii="Times New Roman" w:hAnsi="Times New Roman" w:cs="Times New Roman"/>
                <w:szCs w:val="24"/>
              </w:rPr>
              <w:t>□符合  □不符合</w:t>
            </w:r>
          </w:p>
        </w:tc>
        <w:tc>
          <w:tcPr>
            <w:tcW w:w="476" w:type="pct"/>
            <w:noWrap w:val="0"/>
            <w:vAlign w:val="center"/>
          </w:tcPr>
          <w:p>
            <w:pPr>
              <w:spacing w:line="240" w:lineRule="auto"/>
              <w:jc w:val="center"/>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405" w:type="pct"/>
            <w:vMerge w:val="continue"/>
            <w:noWrap w:val="0"/>
            <w:vAlign w:val="center"/>
          </w:tcPr>
          <w:p>
            <w:pPr>
              <w:spacing w:line="240" w:lineRule="auto"/>
              <w:jc w:val="center"/>
              <w:rPr>
                <w:rFonts w:ascii="Times New Roman" w:hAnsi="Times New Roman" w:cs="Times New Roman"/>
                <w:szCs w:val="24"/>
              </w:rPr>
            </w:pPr>
          </w:p>
        </w:tc>
        <w:tc>
          <w:tcPr>
            <w:tcW w:w="591" w:type="pct"/>
            <w:vMerge w:val="continue"/>
            <w:noWrap w:val="0"/>
            <w:vAlign w:val="center"/>
          </w:tcPr>
          <w:p>
            <w:pPr>
              <w:spacing w:line="240" w:lineRule="auto"/>
              <w:jc w:val="center"/>
              <w:rPr>
                <w:rFonts w:ascii="Times New Roman" w:hAnsi="Times New Roman" w:cs="Times New Roman"/>
                <w:szCs w:val="24"/>
              </w:rPr>
            </w:pPr>
          </w:p>
        </w:tc>
        <w:tc>
          <w:tcPr>
            <w:tcW w:w="991" w:type="pct"/>
            <w:noWrap w:val="0"/>
            <w:vAlign w:val="center"/>
          </w:tcPr>
          <w:p>
            <w:pPr>
              <w:widowControl/>
              <w:spacing w:line="240" w:lineRule="auto"/>
              <w:jc w:val="both"/>
              <w:rPr>
                <w:rFonts w:ascii="Times New Roman" w:hAnsi="Times New Roman" w:cs="Times New Roman"/>
                <w:szCs w:val="21"/>
                <w:lang w:bidi="ar"/>
              </w:rPr>
            </w:pPr>
            <w:r>
              <w:rPr>
                <w:rFonts w:ascii="Times New Roman" w:hAnsi="Times New Roman" w:cs="Times New Roman"/>
                <w:szCs w:val="22"/>
                <w:lang w:bidi="ar"/>
              </w:rPr>
              <w:t>直饮水</w:t>
            </w:r>
          </w:p>
        </w:tc>
        <w:tc>
          <w:tcPr>
            <w:tcW w:w="784" w:type="pct"/>
            <w:noWrap w:val="0"/>
            <w:vAlign w:val="center"/>
          </w:tcPr>
          <w:p>
            <w:pPr>
              <w:spacing w:line="240" w:lineRule="auto"/>
              <w:jc w:val="center"/>
              <w:rPr>
                <w:rFonts w:ascii="Times New Roman" w:hAnsi="Times New Roman" w:cs="Times New Roman"/>
                <w:szCs w:val="24"/>
              </w:rPr>
            </w:pPr>
          </w:p>
        </w:tc>
        <w:tc>
          <w:tcPr>
            <w:tcW w:w="695" w:type="pct"/>
            <w:noWrap w:val="0"/>
            <w:vAlign w:val="center"/>
          </w:tcPr>
          <w:p>
            <w:pPr>
              <w:spacing w:line="240" w:lineRule="auto"/>
              <w:jc w:val="center"/>
              <w:rPr>
                <w:rFonts w:ascii="Times New Roman" w:hAnsi="Times New Roman" w:cs="Times New Roman"/>
                <w:szCs w:val="21"/>
              </w:rPr>
            </w:pPr>
          </w:p>
        </w:tc>
        <w:tc>
          <w:tcPr>
            <w:tcW w:w="1054" w:type="pct"/>
            <w:noWrap w:val="0"/>
            <w:vAlign w:val="center"/>
          </w:tcPr>
          <w:p>
            <w:pPr>
              <w:spacing w:line="240" w:lineRule="auto"/>
              <w:jc w:val="left"/>
              <w:rPr>
                <w:rFonts w:ascii="Times New Roman" w:hAnsi="Times New Roman" w:cs="Times New Roman"/>
                <w:szCs w:val="21"/>
              </w:rPr>
            </w:pPr>
            <w:r>
              <w:rPr>
                <w:rFonts w:ascii="Times New Roman" w:hAnsi="Times New Roman" w:cs="Times New Roman"/>
                <w:szCs w:val="24"/>
              </w:rPr>
              <w:t>□符合  □不符合</w:t>
            </w:r>
          </w:p>
        </w:tc>
        <w:tc>
          <w:tcPr>
            <w:tcW w:w="476" w:type="pct"/>
            <w:noWrap w:val="0"/>
            <w:vAlign w:val="center"/>
          </w:tcPr>
          <w:p>
            <w:pPr>
              <w:spacing w:line="240" w:lineRule="auto"/>
              <w:jc w:val="center"/>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405" w:type="pct"/>
            <w:vMerge w:val="continue"/>
            <w:noWrap w:val="0"/>
            <w:vAlign w:val="center"/>
          </w:tcPr>
          <w:p>
            <w:pPr>
              <w:spacing w:line="240" w:lineRule="auto"/>
              <w:jc w:val="center"/>
              <w:rPr>
                <w:rFonts w:ascii="Times New Roman" w:hAnsi="Times New Roman" w:cs="Times New Roman"/>
                <w:szCs w:val="24"/>
              </w:rPr>
            </w:pPr>
          </w:p>
        </w:tc>
        <w:tc>
          <w:tcPr>
            <w:tcW w:w="591" w:type="pct"/>
            <w:vMerge w:val="continue"/>
            <w:noWrap w:val="0"/>
            <w:vAlign w:val="center"/>
          </w:tcPr>
          <w:p>
            <w:pPr>
              <w:spacing w:line="240" w:lineRule="auto"/>
              <w:jc w:val="center"/>
              <w:rPr>
                <w:rFonts w:ascii="Times New Roman" w:hAnsi="Times New Roman" w:cs="Times New Roman"/>
                <w:szCs w:val="24"/>
              </w:rPr>
            </w:pPr>
          </w:p>
        </w:tc>
        <w:tc>
          <w:tcPr>
            <w:tcW w:w="991" w:type="pct"/>
            <w:noWrap w:val="0"/>
            <w:vAlign w:val="center"/>
          </w:tcPr>
          <w:p>
            <w:pPr>
              <w:widowControl/>
              <w:spacing w:line="240" w:lineRule="auto"/>
              <w:jc w:val="both"/>
              <w:rPr>
                <w:rFonts w:ascii="Times New Roman" w:hAnsi="Times New Roman" w:cs="Times New Roman"/>
                <w:szCs w:val="21"/>
                <w:lang w:bidi="ar"/>
              </w:rPr>
            </w:pPr>
            <w:r>
              <w:rPr>
                <w:rFonts w:ascii="Times New Roman" w:hAnsi="Times New Roman" w:cs="Times New Roman"/>
                <w:szCs w:val="22"/>
                <w:lang w:bidi="ar"/>
              </w:rPr>
              <w:t>集中生活热水</w:t>
            </w:r>
          </w:p>
        </w:tc>
        <w:tc>
          <w:tcPr>
            <w:tcW w:w="784" w:type="pct"/>
            <w:noWrap w:val="0"/>
            <w:vAlign w:val="center"/>
          </w:tcPr>
          <w:p>
            <w:pPr>
              <w:spacing w:line="240" w:lineRule="auto"/>
              <w:jc w:val="center"/>
              <w:rPr>
                <w:rFonts w:ascii="Times New Roman" w:hAnsi="Times New Roman" w:cs="Times New Roman"/>
                <w:szCs w:val="24"/>
              </w:rPr>
            </w:pPr>
          </w:p>
        </w:tc>
        <w:tc>
          <w:tcPr>
            <w:tcW w:w="695" w:type="pct"/>
            <w:noWrap w:val="0"/>
            <w:vAlign w:val="center"/>
          </w:tcPr>
          <w:p>
            <w:pPr>
              <w:spacing w:line="240" w:lineRule="auto"/>
              <w:jc w:val="center"/>
              <w:rPr>
                <w:rFonts w:ascii="Times New Roman" w:hAnsi="Times New Roman" w:cs="Times New Roman"/>
                <w:szCs w:val="21"/>
              </w:rPr>
            </w:pPr>
          </w:p>
        </w:tc>
        <w:tc>
          <w:tcPr>
            <w:tcW w:w="1054" w:type="pct"/>
            <w:noWrap w:val="0"/>
            <w:vAlign w:val="center"/>
          </w:tcPr>
          <w:p>
            <w:pPr>
              <w:spacing w:line="240" w:lineRule="auto"/>
              <w:jc w:val="left"/>
              <w:rPr>
                <w:rFonts w:ascii="Times New Roman" w:hAnsi="Times New Roman" w:cs="Times New Roman"/>
                <w:szCs w:val="21"/>
              </w:rPr>
            </w:pPr>
            <w:r>
              <w:rPr>
                <w:rFonts w:ascii="Times New Roman" w:hAnsi="Times New Roman" w:cs="Times New Roman"/>
                <w:szCs w:val="24"/>
              </w:rPr>
              <w:t>□符合  □不符合</w:t>
            </w:r>
          </w:p>
        </w:tc>
        <w:tc>
          <w:tcPr>
            <w:tcW w:w="476" w:type="pct"/>
            <w:noWrap w:val="0"/>
            <w:vAlign w:val="center"/>
          </w:tcPr>
          <w:p>
            <w:pPr>
              <w:spacing w:line="240" w:lineRule="auto"/>
              <w:jc w:val="center"/>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405" w:type="pct"/>
            <w:vMerge w:val="continue"/>
            <w:noWrap w:val="0"/>
            <w:vAlign w:val="center"/>
          </w:tcPr>
          <w:p>
            <w:pPr>
              <w:spacing w:line="240" w:lineRule="auto"/>
              <w:jc w:val="center"/>
              <w:rPr>
                <w:rFonts w:ascii="Times New Roman" w:hAnsi="Times New Roman" w:cs="Times New Roman"/>
                <w:szCs w:val="24"/>
              </w:rPr>
            </w:pPr>
          </w:p>
        </w:tc>
        <w:tc>
          <w:tcPr>
            <w:tcW w:w="591" w:type="pct"/>
            <w:vMerge w:val="continue"/>
            <w:noWrap w:val="0"/>
            <w:vAlign w:val="center"/>
          </w:tcPr>
          <w:p>
            <w:pPr>
              <w:spacing w:line="240" w:lineRule="auto"/>
              <w:jc w:val="center"/>
              <w:rPr>
                <w:rFonts w:ascii="Times New Roman" w:hAnsi="Times New Roman" w:cs="Times New Roman"/>
                <w:szCs w:val="24"/>
              </w:rPr>
            </w:pPr>
          </w:p>
        </w:tc>
        <w:tc>
          <w:tcPr>
            <w:tcW w:w="991" w:type="pct"/>
            <w:noWrap w:val="0"/>
            <w:vAlign w:val="center"/>
          </w:tcPr>
          <w:p>
            <w:pPr>
              <w:widowControl/>
              <w:spacing w:line="240" w:lineRule="auto"/>
              <w:jc w:val="both"/>
              <w:rPr>
                <w:rFonts w:ascii="Times New Roman" w:hAnsi="Times New Roman" w:cs="Times New Roman"/>
                <w:szCs w:val="21"/>
                <w:lang w:bidi="ar"/>
              </w:rPr>
            </w:pPr>
            <w:r>
              <w:rPr>
                <w:rFonts w:ascii="Times New Roman" w:hAnsi="Times New Roman" w:cs="Times New Roman"/>
                <w:szCs w:val="22"/>
                <w:lang w:bidi="ar"/>
              </w:rPr>
              <w:t>游泳池水</w:t>
            </w:r>
          </w:p>
        </w:tc>
        <w:tc>
          <w:tcPr>
            <w:tcW w:w="784" w:type="pct"/>
            <w:noWrap w:val="0"/>
            <w:vAlign w:val="center"/>
          </w:tcPr>
          <w:p>
            <w:pPr>
              <w:spacing w:line="240" w:lineRule="auto"/>
              <w:jc w:val="center"/>
              <w:rPr>
                <w:rFonts w:ascii="Times New Roman" w:hAnsi="Times New Roman" w:cs="Times New Roman"/>
                <w:szCs w:val="24"/>
              </w:rPr>
            </w:pPr>
          </w:p>
        </w:tc>
        <w:tc>
          <w:tcPr>
            <w:tcW w:w="695" w:type="pct"/>
            <w:noWrap w:val="0"/>
            <w:vAlign w:val="center"/>
          </w:tcPr>
          <w:p>
            <w:pPr>
              <w:spacing w:line="240" w:lineRule="auto"/>
              <w:jc w:val="center"/>
              <w:rPr>
                <w:rFonts w:ascii="Times New Roman" w:hAnsi="Times New Roman" w:cs="Times New Roman"/>
                <w:szCs w:val="21"/>
              </w:rPr>
            </w:pPr>
          </w:p>
        </w:tc>
        <w:tc>
          <w:tcPr>
            <w:tcW w:w="1054" w:type="pct"/>
            <w:noWrap w:val="0"/>
            <w:vAlign w:val="center"/>
          </w:tcPr>
          <w:p>
            <w:pPr>
              <w:spacing w:line="240" w:lineRule="auto"/>
              <w:jc w:val="left"/>
              <w:rPr>
                <w:rFonts w:ascii="Times New Roman" w:hAnsi="Times New Roman" w:cs="Times New Roman"/>
                <w:szCs w:val="21"/>
              </w:rPr>
            </w:pPr>
            <w:r>
              <w:rPr>
                <w:rFonts w:ascii="Times New Roman" w:hAnsi="Times New Roman" w:cs="Times New Roman"/>
                <w:szCs w:val="24"/>
              </w:rPr>
              <w:t>□符合  □不符合</w:t>
            </w:r>
          </w:p>
        </w:tc>
        <w:tc>
          <w:tcPr>
            <w:tcW w:w="476" w:type="pct"/>
            <w:noWrap w:val="0"/>
            <w:vAlign w:val="center"/>
          </w:tcPr>
          <w:p>
            <w:pPr>
              <w:spacing w:line="240" w:lineRule="auto"/>
              <w:jc w:val="center"/>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405" w:type="pct"/>
            <w:vMerge w:val="continue"/>
            <w:noWrap w:val="0"/>
            <w:vAlign w:val="center"/>
          </w:tcPr>
          <w:p>
            <w:pPr>
              <w:spacing w:line="240" w:lineRule="auto"/>
              <w:jc w:val="center"/>
              <w:rPr>
                <w:rFonts w:ascii="Times New Roman" w:hAnsi="Times New Roman" w:cs="Times New Roman"/>
                <w:szCs w:val="24"/>
              </w:rPr>
            </w:pPr>
          </w:p>
        </w:tc>
        <w:tc>
          <w:tcPr>
            <w:tcW w:w="591" w:type="pct"/>
            <w:vMerge w:val="continue"/>
            <w:noWrap w:val="0"/>
            <w:vAlign w:val="center"/>
          </w:tcPr>
          <w:p>
            <w:pPr>
              <w:spacing w:line="240" w:lineRule="auto"/>
              <w:jc w:val="center"/>
              <w:rPr>
                <w:rFonts w:ascii="Times New Roman" w:hAnsi="Times New Roman" w:cs="Times New Roman"/>
                <w:szCs w:val="24"/>
              </w:rPr>
            </w:pPr>
          </w:p>
        </w:tc>
        <w:tc>
          <w:tcPr>
            <w:tcW w:w="991" w:type="pct"/>
            <w:noWrap w:val="0"/>
            <w:vAlign w:val="center"/>
          </w:tcPr>
          <w:p>
            <w:pPr>
              <w:widowControl/>
              <w:spacing w:line="240" w:lineRule="auto"/>
              <w:jc w:val="both"/>
              <w:rPr>
                <w:rFonts w:ascii="Times New Roman" w:hAnsi="Times New Roman" w:cs="Times New Roman"/>
                <w:szCs w:val="21"/>
                <w:lang w:bidi="ar"/>
              </w:rPr>
            </w:pPr>
            <w:r>
              <w:rPr>
                <w:rFonts w:ascii="Times New Roman" w:hAnsi="Times New Roman" w:cs="Times New Roman"/>
                <w:szCs w:val="22"/>
                <w:lang w:bidi="ar"/>
              </w:rPr>
              <w:t>采暖空调系统用水</w:t>
            </w:r>
          </w:p>
        </w:tc>
        <w:tc>
          <w:tcPr>
            <w:tcW w:w="784" w:type="pct"/>
            <w:noWrap w:val="0"/>
            <w:vAlign w:val="center"/>
          </w:tcPr>
          <w:p>
            <w:pPr>
              <w:spacing w:line="240" w:lineRule="auto"/>
              <w:jc w:val="center"/>
              <w:rPr>
                <w:rFonts w:ascii="Times New Roman" w:hAnsi="Times New Roman" w:cs="Times New Roman"/>
                <w:szCs w:val="24"/>
              </w:rPr>
            </w:pPr>
          </w:p>
        </w:tc>
        <w:tc>
          <w:tcPr>
            <w:tcW w:w="695" w:type="pct"/>
            <w:noWrap w:val="0"/>
            <w:vAlign w:val="center"/>
          </w:tcPr>
          <w:p>
            <w:pPr>
              <w:spacing w:line="240" w:lineRule="auto"/>
              <w:jc w:val="center"/>
              <w:rPr>
                <w:rFonts w:ascii="Times New Roman" w:hAnsi="Times New Roman" w:cs="Times New Roman"/>
                <w:szCs w:val="21"/>
              </w:rPr>
            </w:pPr>
          </w:p>
        </w:tc>
        <w:tc>
          <w:tcPr>
            <w:tcW w:w="1054" w:type="pct"/>
            <w:noWrap w:val="0"/>
            <w:vAlign w:val="center"/>
          </w:tcPr>
          <w:p>
            <w:pPr>
              <w:spacing w:line="240" w:lineRule="auto"/>
              <w:jc w:val="left"/>
              <w:rPr>
                <w:rFonts w:ascii="Times New Roman" w:hAnsi="Times New Roman" w:cs="Times New Roman"/>
                <w:szCs w:val="21"/>
              </w:rPr>
            </w:pPr>
            <w:r>
              <w:rPr>
                <w:rFonts w:ascii="Times New Roman" w:hAnsi="Times New Roman" w:cs="Times New Roman"/>
                <w:szCs w:val="24"/>
              </w:rPr>
              <w:t>□符合  □不符合</w:t>
            </w:r>
          </w:p>
        </w:tc>
        <w:tc>
          <w:tcPr>
            <w:tcW w:w="476" w:type="pct"/>
            <w:noWrap w:val="0"/>
            <w:vAlign w:val="center"/>
          </w:tcPr>
          <w:p>
            <w:pPr>
              <w:spacing w:line="240" w:lineRule="auto"/>
              <w:jc w:val="center"/>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405" w:type="pct"/>
            <w:vMerge w:val="continue"/>
            <w:noWrap w:val="0"/>
            <w:vAlign w:val="center"/>
          </w:tcPr>
          <w:p>
            <w:pPr>
              <w:spacing w:line="240" w:lineRule="auto"/>
              <w:jc w:val="center"/>
              <w:rPr>
                <w:rFonts w:ascii="Times New Roman" w:hAnsi="Times New Roman" w:cs="Times New Roman"/>
                <w:szCs w:val="24"/>
              </w:rPr>
            </w:pPr>
          </w:p>
        </w:tc>
        <w:tc>
          <w:tcPr>
            <w:tcW w:w="591" w:type="pct"/>
            <w:vMerge w:val="continue"/>
            <w:noWrap w:val="0"/>
            <w:vAlign w:val="center"/>
          </w:tcPr>
          <w:p>
            <w:pPr>
              <w:spacing w:line="240" w:lineRule="auto"/>
              <w:jc w:val="center"/>
              <w:rPr>
                <w:rFonts w:ascii="Times New Roman" w:hAnsi="Times New Roman" w:cs="Times New Roman"/>
                <w:szCs w:val="24"/>
              </w:rPr>
            </w:pPr>
          </w:p>
        </w:tc>
        <w:tc>
          <w:tcPr>
            <w:tcW w:w="991" w:type="pct"/>
            <w:noWrap w:val="0"/>
            <w:vAlign w:val="center"/>
          </w:tcPr>
          <w:p>
            <w:pPr>
              <w:widowControl/>
              <w:spacing w:line="240" w:lineRule="auto"/>
              <w:jc w:val="both"/>
              <w:rPr>
                <w:rFonts w:ascii="Times New Roman" w:hAnsi="Times New Roman" w:cs="Times New Roman"/>
                <w:szCs w:val="21"/>
                <w:lang w:bidi="ar"/>
              </w:rPr>
            </w:pPr>
            <w:r>
              <w:rPr>
                <w:rFonts w:ascii="Times New Roman" w:hAnsi="Times New Roman" w:cs="Times New Roman"/>
                <w:szCs w:val="22"/>
                <w:lang w:bidi="ar"/>
              </w:rPr>
              <w:t>景观水体</w:t>
            </w:r>
          </w:p>
        </w:tc>
        <w:tc>
          <w:tcPr>
            <w:tcW w:w="784" w:type="pct"/>
            <w:noWrap w:val="0"/>
            <w:vAlign w:val="center"/>
          </w:tcPr>
          <w:p>
            <w:pPr>
              <w:spacing w:line="240" w:lineRule="auto"/>
              <w:jc w:val="center"/>
              <w:rPr>
                <w:rFonts w:ascii="Times New Roman" w:hAnsi="Times New Roman" w:cs="Times New Roman"/>
                <w:szCs w:val="24"/>
              </w:rPr>
            </w:pPr>
          </w:p>
        </w:tc>
        <w:tc>
          <w:tcPr>
            <w:tcW w:w="695" w:type="pct"/>
            <w:noWrap w:val="0"/>
            <w:vAlign w:val="center"/>
          </w:tcPr>
          <w:p>
            <w:pPr>
              <w:spacing w:line="240" w:lineRule="auto"/>
              <w:jc w:val="center"/>
              <w:rPr>
                <w:rFonts w:ascii="Times New Roman" w:hAnsi="Times New Roman" w:cs="Times New Roman"/>
                <w:szCs w:val="21"/>
              </w:rPr>
            </w:pPr>
          </w:p>
        </w:tc>
        <w:tc>
          <w:tcPr>
            <w:tcW w:w="1054" w:type="pct"/>
            <w:noWrap w:val="0"/>
            <w:vAlign w:val="center"/>
          </w:tcPr>
          <w:p>
            <w:pPr>
              <w:spacing w:line="240" w:lineRule="auto"/>
              <w:jc w:val="left"/>
              <w:rPr>
                <w:rFonts w:ascii="Times New Roman" w:hAnsi="Times New Roman" w:cs="Times New Roman"/>
                <w:szCs w:val="21"/>
              </w:rPr>
            </w:pPr>
            <w:r>
              <w:rPr>
                <w:rFonts w:ascii="Times New Roman" w:hAnsi="Times New Roman" w:cs="Times New Roman"/>
                <w:szCs w:val="24"/>
              </w:rPr>
              <w:t>□符合  □不符合</w:t>
            </w:r>
          </w:p>
        </w:tc>
        <w:tc>
          <w:tcPr>
            <w:tcW w:w="476" w:type="pct"/>
            <w:noWrap w:val="0"/>
            <w:vAlign w:val="center"/>
          </w:tcPr>
          <w:p>
            <w:pPr>
              <w:spacing w:line="240" w:lineRule="auto"/>
              <w:jc w:val="center"/>
              <w:rPr>
                <w:rFonts w:ascii="Times New Roman" w:hAnsi="Times New Roman" w:cs="Times New Roman"/>
                <w:szCs w:val="24"/>
              </w:rPr>
            </w:pPr>
          </w:p>
        </w:tc>
      </w:tr>
    </w:tbl>
    <w:p>
      <w:pPr>
        <w:spacing w:line="240" w:lineRule="auto"/>
        <w:jc w:val="right"/>
        <w:rPr>
          <w:rFonts w:ascii="Times New Roman" w:hAnsi="Times New Roman" w:eastAsia="黑体" w:cs="Times New Roman"/>
          <w:szCs w:val="24"/>
          <w:lang w:val="zh-CN"/>
        </w:rPr>
      </w:pPr>
      <w:r>
        <w:rPr>
          <w:rFonts w:ascii="Times New Roman" w:hAnsi="Times New Roman" w:eastAsia="黑体" w:cs="Times New Roman"/>
          <w:szCs w:val="24"/>
          <w:lang w:val="zh-CN"/>
        </w:rPr>
        <w:t>续表A.0.2-2</w:t>
      </w:r>
    </w:p>
    <w:tbl>
      <w:tblPr>
        <w:tblStyle w:val="15"/>
        <w:tblW w:w="94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6"/>
        <w:gridCol w:w="1656"/>
        <w:gridCol w:w="1948"/>
        <w:gridCol w:w="1222"/>
        <w:gridCol w:w="1203"/>
        <w:gridCol w:w="1778"/>
        <w:gridCol w:w="8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3" w:hRule="atLeast"/>
        </w:trPr>
        <w:tc>
          <w:tcPr>
            <w:tcW w:w="856" w:type="dxa"/>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条文号</w:t>
            </w:r>
          </w:p>
        </w:tc>
        <w:tc>
          <w:tcPr>
            <w:tcW w:w="1656"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检验参数</w:t>
            </w:r>
          </w:p>
        </w:tc>
        <w:tc>
          <w:tcPr>
            <w:tcW w:w="1948"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检验内容</w:t>
            </w:r>
          </w:p>
        </w:tc>
        <w:tc>
          <w:tcPr>
            <w:tcW w:w="1222" w:type="dxa"/>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实测结果</w:t>
            </w:r>
          </w:p>
        </w:tc>
        <w:tc>
          <w:tcPr>
            <w:tcW w:w="1203" w:type="dxa"/>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1"/>
              </w:rPr>
              <w:t>标准或</w:t>
            </w:r>
            <w:r>
              <w:rPr>
                <w:rFonts w:ascii="Times New Roman" w:hAnsi="Times New Roman" w:cs="Times New Roman"/>
                <w:szCs w:val="24"/>
              </w:rPr>
              <w:t>设计要求值</w:t>
            </w:r>
          </w:p>
        </w:tc>
        <w:tc>
          <w:tcPr>
            <w:tcW w:w="1778"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 xml:space="preserve">检验结论 </w:t>
            </w:r>
          </w:p>
        </w:tc>
        <w:tc>
          <w:tcPr>
            <w:tcW w:w="814" w:type="dxa"/>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5" w:hRule="atLeast"/>
        </w:trPr>
        <w:tc>
          <w:tcPr>
            <w:tcW w:w="856" w:type="dxa"/>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6.4.2</w:t>
            </w:r>
          </w:p>
        </w:tc>
        <w:tc>
          <w:tcPr>
            <w:tcW w:w="1656" w:type="dxa"/>
            <w:noWrap w:val="0"/>
            <w:vAlign w:val="center"/>
          </w:tcPr>
          <w:p>
            <w:pPr>
              <w:spacing w:line="240" w:lineRule="auto"/>
              <w:jc w:val="both"/>
              <w:rPr>
                <w:rFonts w:ascii="Times New Roman" w:hAnsi="Times New Roman" w:cs="Times New Roman"/>
                <w:szCs w:val="21"/>
              </w:rPr>
            </w:pPr>
            <w:r>
              <w:rPr>
                <w:rFonts w:ascii="Times New Roman" w:hAnsi="Times New Roman" w:cs="Times New Roman"/>
                <w:szCs w:val="21"/>
              </w:rPr>
              <w:t>平均日用水量</w:t>
            </w:r>
          </w:p>
        </w:tc>
        <w:tc>
          <w:tcPr>
            <w:tcW w:w="1948" w:type="dxa"/>
            <w:noWrap w:val="0"/>
            <w:vAlign w:val="center"/>
          </w:tcPr>
          <w:p>
            <w:pPr>
              <w:spacing w:line="240" w:lineRule="auto"/>
              <w:jc w:val="left"/>
              <w:rPr>
                <w:rFonts w:ascii="Times New Roman" w:hAnsi="Times New Roman" w:cs="Times New Roman"/>
                <w:szCs w:val="21"/>
              </w:rPr>
            </w:pPr>
            <w:r>
              <w:rPr>
                <w:rFonts w:ascii="Times New Roman" w:hAnsi="Times New Roman" w:cs="Times New Roman"/>
                <w:szCs w:val="21"/>
              </w:rPr>
              <w:t>建筑平均日用水量</w:t>
            </w:r>
          </w:p>
        </w:tc>
        <w:tc>
          <w:tcPr>
            <w:tcW w:w="1222" w:type="dxa"/>
            <w:noWrap w:val="0"/>
            <w:vAlign w:val="center"/>
          </w:tcPr>
          <w:p>
            <w:pPr>
              <w:spacing w:line="240" w:lineRule="auto"/>
              <w:jc w:val="both"/>
              <w:rPr>
                <w:rFonts w:ascii="Times New Roman" w:hAnsi="Times New Roman" w:cs="Times New Roman"/>
                <w:szCs w:val="24"/>
              </w:rPr>
            </w:pPr>
          </w:p>
        </w:tc>
        <w:tc>
          <w:tcPr>
            <w:tcW w:w="1203" w:type="dxa"/>
            <w:noWrap w:val="0"/>
            <w:vAlign w:val="top"/>
          </w:tcPr>
          <w:p>
            <w:pPr>
              <w:spacing w:line="240" w:lineRule="auto"/>
              <w:jc w:val="both"/>
              <w:rPr>
                <w:rFonts w:ascii="Times New Roman" w:hAnsi="Times New Roman" w:cs="Times New Roman"/>
                <w:szCs w:val="24"/>
              </w:rPr>
            </w:pPr>
          </w:p>
        </w:tc>
        <w:tc>
          <w:tcPr>
            <w:tcW w:w="1778" w:type="dxa"/>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□符合  □不符合</w:t>
            </w:r>
          </w:p>
        </w:tc>
        <w:tc>
          <w:tcPr>
            <w:tcW w:w="814" w:type="dxa"/>
            <w:noWrap w:val="0"/>
            <w:vAlign w:val="center"/>
          </w:tcPr>
          <w:p>
            <w:pPr>
              <w:spacing w:line="240" w:lineRule="auto"/>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56" w:type="dxa"/>
            <w:vMerge w:val="restar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7.1.1</w:t>
            </w:r>
          </w:p>
        </w:tc>
        <w:tc>
          <w:tcPr>
            <w:tcW w:w="1656" w:type="dxa"/>
            <w:vMerge w:val="restart"/>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围护结构传热系数</w:t>
            </w:r>
          </w:p>
        </w:tc>
        <w:tc>
          <w:tcPr>
            <w:tcW w:w="1948" w:type="dxa"/>
            <w:noWrap w:val="0"/>
            <w:vAlign w:val="center"/>
          </w:tcPr>
          <w:p>
            <w:pPr>
              <w:spacing w:line="240" w:lineRule="auto"/>
              <w:jc w:val="both"/>
              <w:rPr>
                <w:rFonts w:ascii="Times New Roman" w:hAnsi="Times New Roman" w:cs="Times New Roman"/>
                <w:szCs w:val="21"/>
              </w:rPr>
            </w:pPr>
            <w:r>
              <w:rPr>
                <w:rFonts w:ascii="Times New Roman" w:hAnsi="Times New Roman" w:cs="Times New Roman"/>
                <w:szCs w:val="21"/>
              </w:rPr>
              <w:t>屋面传热系数</w:t>
            </w:r>
          </w:p>
        </w:tc>
        <w:tc>
          <w:tcPr>
            <w:tcW w:w="1222" w:type="dxa"/>
            <w:noWrap w:val="0"/>
            <w:vAlign w:val="center"/>
          </w:tcPr>
          <w:p>
            <w:pPr>
              <w:spacing w:line="240" w:lineRule="auto"/>
              <w:jc w:val="both"/>
              <w:rPr>
                <w:rFonts w:ascii="Times New Roman" w:hAnsi="Times New Roman" w:cs="Times New Roman"/>
                <w:szCs w:val="24"/>
              </w:rPr>
            </w:pPr>
          </w:p>
        </w:tc>
        <w:tc>
          <w:tcPr>
            <w:tcW w:w="1203" w:type="dxa"/>
            <w:noWrap w:val="0"/>
            <w:vAlign w:val="top"/>
          </w:tcPr>
          <w:p>
            <w:pPr>
              <w:spacing w:line="240" w:lineRule="auto"/>
              <w:jc w:val="both"/>
              <w:rPr>
                <w:rFonts w:ascii="Times New Roman" w:hAnsi="Times New Roman" w:cs="Times New Roman"/>
                <w:szCs w:val="24"/>
              </w:rPr>
            </w:pPr>
          </w:p>
        </w:tc>
        <w:tc>
          <w:tcPr>
            <w:tcW w:w="1778" w:type="dxa"/>
            <w:noWrap w:val="0"/>
            <w:vAlign w:val="center"/>
          </w:tcPr>
          <w:p>
            <w:pPr>
              <w:spacing w:line="240" w:lineRule="auto"/>
              <w:jc w:val="both"/>
              <w:rPr>
                <w:rFonts w:ascii="Times New Roman" w:hAnsi="Times New Roman" w:cs="Times New Roman"/>
                <w:szCs w:val="24"/>
              </w:rPr>
            </w:pPr>
            <w:r>
              <w:rPr>
                <w:rFonts w:ascii="Times New Roman" w:hAnsi="Times New Roman" w:cs="Times New Roman"/>
                <w:szCs w:val="24"/>
              </w:rPr>
              <w:t>□符合  □不符合</w:t>
            </w:r>
          </w:p>
        </w:tc>
        <w:tc>
          <w:tcPr>
            <w:tcW w:w="814" w:type="dxa"/>
            <w:noWrap w:val="0"/>
            <w:vAlign w:val="center"/>
          </w:tcPr>
          <w:p>
            <w:pPr>
              <w:spacing w:line="240" w:lineRule="auto"/>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56" w:type="dxa"/>
            <w:vMerge w:val="continue"/>
            <w:noWrap w:val="0"/>
            <w:vAlign w:val="center"/>
          </w:tcPr>
          <w:p>
            <w:pPr>
              <w:spacing w:line="240" w:lineRule="auto"/>
              <w:jc w:val="center"/>
              <w:rPr>
                <w:rFonts w:ascii="Times New Roman" w:hAnsi="Times New Roman" w:cs="Times New Roman"/>
                <w:szCs w:val="24"/>
              </w:rPr>
            </w:pPr>
          </w:p>
        </w:tc>
        <w:tc>
          <w:tcPr>
            <w:tcW w:w="1656" w:type="dxa"/>
            <w:vMerge w:val="continue"/>
            <w:noWrap w:val="0"/>
            <w:vAlign w:val="center"/>
          </w:tcPr>
          <w:p>
            <w:pPr>
              <w:spacing w:line="240" w:lineRule="auto"/>
              <w:jc w:val="center"/>
              <w:rPr>
                <w:rFonts w:ascii="Times New Roman" w:hAnsi="Times New Roman" w:cs="Times New Roman"/>
                <w:szCs w:val="21"/>
              </w:rPr>
            </w:pPr>
          </w:p>
        </w:tc>
        <w:tc>
          <w:tcPr>
            <w:tcW w:w="1948" w:type="dxa"/>
            <w:noWrap w:val="0"/>
            <w:vAlign w:val="center"/>
          </w:tcPr>
          <w:p>
            <w:pPr>
              <w:spacing w:line="240" w:lineRule="auto"/>
              <w:jc w:val="both"/>
              <w:rPr>
                <w:rFonts w:ascii="Times New Roman" w:hAnsi="Times New Roman" w:cs="Times New Roman"/>
                <w:szCs w:val="21"/>
              </w:rPr>
            </w:pPr>
            <w:r>
              <w:rPr>
                <w:rFonts w:ascii="Times New Roman" w:hAnsi="Times New Roman" w:cs="Times New Roman"/>
                <w:szCs w:val="21"/>
              </w:rPr>
              <w:t>外墙传热系数</w:t>
            </w:r>
          </w:p>
        </w:tc>
        <w:tc>
          <w:tcPr>
            <w:tcW w:w="1222" w:type="dxa"/>
            <w:noWrap w:val="0"/>
            <w:vAlign w:val="center"/>
          </w:tcPr>
          <w:p>
            <w:pPr>
              <w:spacing w:line="240" w:lineRule="auto"/>
              <w:jc w:val="both"/>
              <w:rPr>
                <w:rFonts w:ascii="Times New Roman" w:hAnsi="Times New Roman" w:cs="Times New Roman"/>
                <w:szCs w:val="24"/>
              </w:rPr>
            </w:pPr>
          </w:p>
        </w:tc>
        <w:tc>
          <w:tcPr>
            <w:tcW w:w="1203" w:type="dxa"/>
            <w:noWrap w:val="0"/>
            <w:vAlign w:val="top"/>
          </w:tcPr>
          <w:p>
            <w:pPr>
              <w:spacing w:line="240" w:lineRule="auto"/>
              <w:jc w:val="both"/>
              <w:rPr>
                <w:rFonts w:ascii="Times New Roman" w:hAnsi="Times New Roman" w:cs="Times New Roman"/>
                <w:szCs w:val="24"/>
              </w:rPr>
            </w:pPr>
          </w:p>
        </w:tc>
        <w:tc>
          <w:tcPr>
            <w:tcW w:w="1778" w:type="dxa"/>
            <w:noWrap w:val="0"/>
            <w:vAlign w:val="center"/>
          </w:tcPr>
          <w:p>
            <w:pPr>
              <w:spacing w:line="240" w:lineRule="auto"/>
              <w:jc w:val="both"/>
              <w:rPr>
                <w:rFonts w:ascii="Times New Roman" w:hAnsi="Times New Roman" w:cs="Times New Roman"/>
                <w:szCs w:val="24"/>
              </w:rPr>
            </w:pPr>
            <w:r>
              <w:rPr>
                <w:rFonts w:ascii="Times New Roman" w:hAnsi="Times New Roman" w:cs="Times New Roman"/>
                <w:szCs w:val="24"/>
              </w:rPr>
              <w:t>□符合  □不符合</w:t>
            </w:r>
          </w:p>
        </w:tc>
        <w:tc>
          <w:tcPr>
            <w:tcW w:w="814" w:type="dxa"/>
            <w:noWrap w:val="0"/>
            <w:vAlign w:val="center"/>
          </w:tcPr>
          <w:p>
            <w:pPr>
              <w:spacing w:line="240" w:lineRule="auto"/>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56" w:type="dxa"/>
            <w:vMerge w:val="continue"/>
            <w:noWrap w:val="0"/>
            <w:vAlign w:val="center"/>
          </w:tcPr>
          <w:p>
            <w:pPr>
              <w:spacing w:line="240" w:lineRule="auto"/>
              <w:jc w:val="center"/>
              <w:rPr>
                <w:rFonts w:ascii="Times New Roman" w:hAnsi="Times New Roman" w:cs="Times New Roman"/>
                <w:szCs w:val="24"/>
              </w:rPr>
            </w:pPr>
          </w:p>
        </w:tc>
        <w:tc>
          <w:tcPr>
            <w:tcW w:w="1656" w:type="dxa"/>
            <w:vMerge w:val="continue"/>
            <w:noWrap w:val="0"/>
            <w:vAlign w:val="center"/>
          </w:tcPr>
          <w:p>
            <w:pPr>
              <w:spacing w:line="240" w:lineRule="auto"/>
              <w:jc w:val="center"/>
              <w:rPr>
                <w:rFonts w:ascii="Times New Roman" w:hAnsi="Times New Roman" w:cs="Times New Roman"/>
                <w:szCs w:val="21"/>
              </w:rPr>
            </w:pPr>
          </w:p>
        </w:tc>
        <w:tc>
          <w:tcPr>
            <w:tcW w:w="1948" w:type="dxa"/>
            <w:noWrap w:val="0"/>
            <w:vAlign w:val="center"/>
          </w:tcPr>
          <w:p>
            <w:pPr>
              <w:spacing w:line="240" w:lineRule="auto"/>
              <w:jc w:val="both"/>
              <w:rPr>
                <w:rFonts w:ascii="Times New Roman" w:hAnsi="Times New Roman" w:cs="Times New Roman"/>
                <w:szCs w:val="21"/>
              </w:rPr>
            </w:pPr>
            <w:r>
              <w:rPr>
                <w:rFonts w:ascii="Times New Roman" w:hAnsi="Times New Roman" w:cs="Times New Roman"/>
                <w:szCs w:val="21"/>
              </w:rPr>
              <w:t>楼板传热系数</w:t>
            </w:r>
          </w:p>
        </w:tc>
        <w:tc>
          <w:tcPr>
            <w:tcW w:w="1222" w:type="dxa"/>
            <w:noWrap w:val="0"/>
            <w:vAlign w:val="center"/>
          </w:tcPr>
          <w:p>
            <w:pPr>
              <w:spacing w:line="240" w:lineRule="auto"/>
              <w:jc w:val="both"/>
              <w:rPr>
                <w:rFonts w:ascii="Times New Roman" w:hAnsi="Times New Roman" w:cs="Times New Roman"/>
                <w:szCs w:val="24"/>
              </w:rPr>
            </w:pPr>
          </w:p>
        </w:tc>
        <w:tc>
          <w:tcPr>
            <w:tcW w:w="1203" w:type="dxa"/>
            <w:noWrap w:val="0"/>
            <w:vAlign w:val="top"/>
          </w:tcPr>
          <w:p>
            <w:pPr>
              <w:spacing w:line="240" w:lineRule="auto"/>
              <w:jc w:val="both"/>
              <w:rPr>
                <w:rFonts w:ascii="Times New Roman" w:hAnsi="Times New Roman" w:cs="Times New Roman"/>
                <w:szCs w:val="24"/>
              </w:rPr>
            </w:pPr>
          </w:p>
        </w:tc>
        <w:tc>
          <w:tcPr>
            <w:tcW w:w="1778" w:type="dxa"/>
            <w:noWrap w:val="0"/>
            <w:vAlign w:val="center"/>
          </w:tcPr>
          <w:p>
            <w:pPr>
              <w:spacing w:line="240" w:lineRule="auto"/>
              <w:jc w:val="both"/>
              <w:rPr>
                <w:rFonts w:ascii="Times New Roman" w:hAnsi="Times New Roman" w:cs="Times New Roman"/>
                <w:szCs w:val="24"/>
              </w:rPr>
            </w:pPr>
            <w:r>
              <w:rPr>
                <w:rFonts w:ascii="Times New Roman" w:hAnsi="Times New Roman" w:cs="Times New Roman"/>
                <w:szCs w:val="24"/>
              </w:rPr>
              <w:t>□符合  □不符合</w:t>
            </w:r>
          </w:p>
        </w:tc>
        <w:tc>
          <w:tcPr>
            <w:tcW w:w="814" w:type="dxa"/>
            <w:noWrap w:val="0"/>
            <w:vAlign w:val="center"/>
          </w:tcPr>
          <w:p>
            <w:pPr>
              <w:spacing w:line="240" w:lineRule="auto"/>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56" w:type="dxa"/>
            <w:vMerge w:val="continue"/>
            <w:noWrap w:val="0"/>
            <w:vAlign w:val="center"/>
          </w:tcPr>
          <w:p>
            <w:pPr>
              <w:spacing w:line="240" w:lineRule="auto"/>
              <w:jc w:val="center"/>
              <w:rPr>
                <w:rFonts w:ascii="Times New Roman" w:hAnsi="Times New Roman" w:cs="Times New Roman"/>
                <w:szCs w:val="24"/>
              </w:rPr>
            </w:pPr>
          </w:p>
        </w:tc>
        <w:tc>
          <w:tcPr>
            <w:tcW w:w="1656" w:type="dxa"/>
            <w:vMerge w:val="continue"/>
            <w:noWrap w:val="0"/>
            <w:vAlign w:val="center"/>
          </w:tcPr>
          <w:p>
            <w:pPr>
              <w:spacing w:line="240" w:lineRule="auto"/>
              <w:jc w:val="center"/>
              <w:rPr>
                <w:rFonts w:ascii="Times New Roman" w:hAnsi="Times New Roman" w:cs="Times New Roman"/>
                <w:szCs w:val="21"/>
              </w:rPr>
            </w:pPr>
          </w:p>
        </w:tc>
        <w:tc>
          <w:tcPr>
            <w:tcW w:w="1948" w:type="dxa"/>
            <w:noWrap w:val="0"/>
            <w:vAlign w:val="center"/>
          </w:tcPr>
          <w:p>
            <w:pPr>
              <w:spacing w:line="240" w:lineRule="auto"/>
              <w:jc w:val="both"/>
              <w:rPr>
                <w:rFonts w:ascii="Times New Roman" w:hAnsi="Times New Roman" w:cs="Times New Roman"/>
                <w:szCs w:val="21"/>
              </w:rPr>
            </w:pPr>
            <w:r>
              <w:rPr>
                <w:rFonts w:ascii="Times New Roman" w:hAnsi="Times New Roman" w:cs="Times New Roman"/>
                <w:szCs w:val="21"/>
              </w:rPr>
              <w:t>天窗传热系数</w:t>
            </w:r>
          </w:p>
        </w:tc>
        <w:tc>
          <w:tcPr>
            <w:tcW w:w="1222" w:type="dxa"/>
            <w:noWrap w:val="0"/>
            <w:vAlign w:val="center"/>
          </w:tcPr>
          <w:p>
            <w:pPr>
              <w:spacing w:line="240" w:lineRule="auto"/>
              <w:jc w:val="both"/>
              <w:rPr>
                <w:rFonts w:ascii="Times New Roman" w:hAnsi="Times New Roman" w:cs="Times New Roman"/>
                <w:szCs w:val="24"/>
              </w:rPr>
            </w:pPr>
          </w:p>
        </w:tc>
        <w:tc>
          <w:tcPr>
            <w:tcW w:w="1203" w:type="dxa"/>
            <w:noWrap w:val="0"/>
            <w:vAlign w:val="top"/>
          </w:tcPr>
          <w:p>
            <w:pPr>
              <w:spacing w:line="240" w:lineRule="auto"/>
              <w:jc w:val="both"/>
              <w:rPr>
                <w:rFonts w:ascii="Times New Roman" w:hAnsi="Times New Roman" w:cs="Times New Roman"/>
                <w:szCs w:val="24"/>
              </w:rPr>
            </w:pPr>
          </w:p>
        </w:tc>
        <w:tc>
          <w:tcPr>
            <w:tcW w:w="1778" w:type="dxa"/>
            <w:noWrap w:val="0"/>
            <w:vAlign w:val="center"/>
          </w:tcPr>
          <w:p>
            <w:pPr>
              <w:spacing w:line="240" w:lineRule="auto"/>
              <w:jc w:val="both"/>
              <w:rPr>
                <w:rFonts w:ascii="Times New Roman" w:hAnsi="Times New Roman" w:cs="Times New Roman"/>
                <w:szCs w:val="24"/>
              </w:rPr>
            </w:pPr>
            <w:r>
              <w:rPr>
                <w:rFonts w:ascii="Times New Roman" w:hAnsi="Times New Roman" w:cs="Times New Roman"/>
                <w:szCs w:val="24"/>
              </w:rPr>
              <w:t>□符合  □不符合</w:t>
            </w:r>
          </w:p>
        </w:tc>
        <w:tc>
          <w:tcPr>
            <w:tcW w:w="814" w:type="dxa"/>
            <w:noWrap w:val="0"/>
            <w:vAlign w:val="center"/>
          </w:tcPr>
          <w:p>
            <w:pPr>
              <w:spacing w:line="240" w:lineRule="auto"/>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56" w:type="dxa"/>
            <w:vMerge w:val="continue"/>
            <w:noWrap w:val="0"/>
            <w:vAlign w:val="center"/>
          </w:tcPr>
          <w:p>
            <w:pPr>
              <w:spacing w:line="240" w:lineRule="auto"/>
              <w:jc w:val="center"/>
              <w:rPr>
                <w:rFonts w:ascii="Times New Roman" w:hAnsi="Times New Roman" w:cs="Times New Roman"/>
                <w:szCs w:val="24"/>
              </w:rPr>
            </w:pPr>
          </w:p>
        </w:tc>
        <w:tc>
          <w:tcPr>
            <w:tcW w:w="1656" w:type="dxa"/>
            <w:vMerge w:val="continue"/>
            <w:noWrap w:val="0"/>
            <w:vAlign w:val="center"/>
          </w:tcPr>
          <w:p>
            <w:pPr>
              <w:spacing w:line="240" w:lineRule="auto"/>
              <w:jc w:val="center"/>
              <w:rPr>
                <w:rFonts w:ascii="Times New Roman" w:hAnsi="Times New Roman" w:cs="Times New Roman"/>
                <w:szCs w:val="21"/>
              </w:rPr>
            </w:pPr>
          </w:p>
        </w:tc>
        <w:tc>
          <w:tcPr>
            <w:tcW w:w="1948" w:type="dxa"/>
            <w:noWrap w:val="0"/>
            <w:vAlign w:val="center"/>
          </w:tcPr>
          <w:p>
            <w:pPr>
              <w:spacing w:line="240" w:lineRule="auto"/>
              <w:jc w:val="both"/>
              <w:rPr>
                <w:rFonts w:ascii="Times New Roman" w:hAnsi="Times New Roman" w:cs="Times New Roman"/>
                <w:szCs w:val="21"/>
              </w:rPr>
            </w:pPr>
            <w:r>
              <w:rPr>
                <w:rFonts w:ascii="Times New Roman" w:hAnsi="Times New Roman" w:cs="Times New Roman"/>
                <w:szCs w:val="21"/>
              </w:rPr>
              <w:t>外窗传热系数</w:t>
            </w:r>
          </w:p>
        </w:tc>
        <w:tc>
          <w:tcPr>
            <w:tcW w:w="1222" w:type="dxa"/>
            <w:noWrap w:val="0"/>
            <w:vAlign w:val="center"/>
          </w:tcPr>
          <w:p>
            <w:pPr>
              <w:spacing w:line="240" w:lineRule="auto"/>
              <w:jc w:val="both"/>
              <w:rPr>
                <w:rFonts w:ascii="Times New Roman" w:hAnsi="Times New Roman" w:cs="Times New Roman"/>
                <w:szCs w:val="24"/>
              </w:rPr>
            </w:pPr>
          </w:p>
        </w:tc>
        <w:tc>
          <w:tcPr>
            <w:tcW w:w="1203" w:type="dxa"/>
            <w:noWrap w:val="0"/>
            <w:vAlign w:val="top"/>
          </w:tcPr>
          <w:p>
            <w:pPr>
              <w:spacing w:line="240" w:lineRule="auto"/>
              <w:jc w:val="both"/>
              <w:rPr>
                <w:rFonts w:ascii="Times New Roman" w:hAnsi="Times New Roman" w:cs="Times New Roman"/>
                <w:szCs w:val="24"/>
              </w:rPr>
            </w:pPr>
          </w:p>
        </w:tc>
        <w:tc>
          <w:tcPr>
            <w:tcW w:w="1778" w:type="dxa"/>
            <w:noWrap w:val="0"/>
            <w:vAlign w:val="center"/>
          </w:tcPr>
          <w:p>
            <w:pPr>
              <w:spacing w:line="240" w:lineRule="auto"/>
              <w:jc w:val="both"/>
              <w:rPr>
                <w:rFonts w:ascii="Times New Roman" w:hAnsi="Times New Roman" w:cs="Times New Roman"/>
                <w:szCs w:val="24"/>
              </w:rPr>
            </w:pPr>
            <w:r>
              <w:rPr>
                <w:rFonts w:ascii="Times New Roman" w:hAnsi="Times New Roman" w:cs="Times New Roman"/>
                <w:szCs w:val="24"/>
              </w:rPr>
              <w:t>□符合  □不符合</w:t>
            </w:r>
          </w:p>
        </w:tc>
        <w:tc>
          <w:tcPr>
            <w:tcW w:w="814" w:type="dxa"/>
            <w:noWrap w:val="0"/>
            <w:vAlign w:val="center"/>
          </w:tcPr>
          <w:p>
            <w:pPr>
              <w:spacing w:line="240" w:lineRule="auto"/>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3" w:hRule="atLeast"/>
        </w:trPr>
        <w:tc>
          <w:tcPr>
            <w:tcW w:w="856" w:type="dxa"/>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7.1.2</w:t>
            </w:r>
          </w:p>
        </w:tc>
        <w:tc>
          <w:tcPr>
            <w:tcW w:w="1656"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水系统耗电输冷（热）比</w:t>
            </w:r>
          </w:p>
        </w:tc>
        <w:tc>
          <w:tcPr>
            <w:tcW w:w="1948" w:type="dxa"/>
            <w:noWrap w:val="0"/>
            <w:vAlign w:val="center"/>
          </w:tcPr>
          <w:p>
            <w:pPr>
              <w:spacing w:line="240" w:lineRule="auto"/>
              <w:jc w:val="both"/>
              <w:rPr>
                <w:rFonts w:ascii="Times New Roman" w:hAnsi="Times New Roman" w:cs="Times New Roman"/>
                <w:szCs w:val="21"/>
              </w:rPr>
            </w:pPr>
            <w:r>
              <w:rPr>
                <w:rFonts w:ascii="Times New Roman" w:hAnsi="Times New Roman" w:cs="Times New Roman"/>
                <w:szCs w:val="21"/>
              </w:rPr>
              <w:t>空调冷（热）水系统耗电输冷（热）比</w:t>
            </w:r>
          </w:p>
        </w:tc>
        <w:tc>
          <w:tcPr>
            <w:tcW w:w="1222" w:type="dxa"/>
            <w:noWrap w:val="0"/>
            <w:vAlign w:val="center"/>
          </w:tcPr>
          <w:p>
            <w:pPr>
              <w:spacing w:line="240" w:lineRule="auto"/>
              <w:jc w:val="both"/>
              <w:rPr>
                <w:rFonts w:ascii="Times New Roman" w:hAnsi="Times New Roman" w:cs="Times New Roman"/>
                <w:szCs w:val="24"/>
              </w:rPr>
            </w:pPr>
          </w:p>
        </w:tc>
        <w:tc>
          <w:tcPr>
            <w:tcW w:w="1203" w:type="dxa"/>
            <w:noWrap w:val="0"/>
            <w:vAlign w:val="top"/>
          </w:tcPr>
          <w:p>
            <w:pPr>
              <w:spacing w:line="240" w:lineRule="auto"/>
              <w:jc w:val="both"/>
              <w:rPr>
                <w:rFonts w:ascii="Times New Roman" w:hAnsi="Times New Roman" w:cs="Times New Roman"/>
                <w:szCs w:val="24"/>
              </w:rPr>
            </w:pPr>
          </w:p>
        </w:tc>
        <w:tc>
          <w:tcPr>
            <w:tcW w:w="1778" w:type="dxa"/>
            <w:noWrap w:val="0"/>
            <w:vAlign w:val="center"/>
          </w:tcPr>
          <w:p>
            <w:pPr>
              <w:spacing w:line="240" w:lineRule="auto"/>
              <w:jc w:val="both"/>
              <w:rPr>
                <w:rFonts w:ascii="Times New Roman" w:hAnsi="Times New Roman" w:cs="Times New Roman"/>
                <w:szCs w:val="24"/>
              </w:rPr>
            </w:pPr>
            <w:r>
              <w:rPr>
                <w:rFonts w:ascii="Times New Roman" w:hAnsi="Times New Roman" w:cs="Times New Roman"/>
                <w:szCs w:val="24"/>
              </w:rPr>
              <w:t>□符合  □不符合</w:t>
            </w:r>
          </w:p>
        </w:tc>
        <w:tc>
          <w:tcPr>
            <w:tcW w:w="814" w:type="dxa"/>
            <w:noWrap w:val="0"/>
            <w:vAlign w:val="center"/>
          </w:tcPr>
          <w:p>
            <w:pPr>
              <w:spacing w:line="240" w:lineRule="auto"/>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3" w:hRule="atLeast"/>
        </w:trPr>
        <w:tc>
          <w:tcPr>
            <w:tcW w:w="856" w:type="dxa"/>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7.1.3</w:t>
            </w:r>
          </w:p>
        </w:tc>
        <w:tc>
          <w:tcPr>
            <w:tcW w:w="1656"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能效系数（EER-sys）</w:t>
            </w:r>
          </w:p>
        </w:tc>
        <w:tc>
          <w:tcPr>
            <w:tcW w:w="1948" w:type="dxa"/>
            <w:noWrap w:val="0"/>
            <w:vAlign w:val="center"/>
          </w:tcPr>
          <w:p>
            <w:pPr>
              <w:spacing w:line="240" w:lineRule="auto"/>
              <w:jc w:val="both"/>
              <w:rPr>
                <w:rFonts w:ascii="Times New Roman" w:hAnsi="Times New Roman" w:cs="Times New Roman"/>
                <w:szCs w:val="21"/>
              </w:rPr>
            </w:pPr>
            <w:r>
              <w:rPr>
                <w:rFonts w:ascii="Times New Roman" w:hAnsi="Times New Roman" w:cs="Times New Roman"/>
                <w:szCs w:val="21"/>
              </w:rPr>
              <w:t>冷源系统能效系数</w:t>
            </w:r>
          </w:p>
        </w:tc>
        <w:tc>
          <w:tcPr>
            <w:tcW w:w="1222" w:type="dxa"/>
            <w:noWrap w:val="0"/>
            <w:vAlign w:val="center"/>
          </w:tcPr>
          <w:p>
            <w:pPr>
              <w:spacing w:line="240" w:lineRule="auto"/>
              <w:jc w:val="both"/>
              <w:rPr>
                <w:rFonts w:ascii="Times New Roman" w:hAnsi="Times New Roman" w:cs="Times New Roman"/>
                <w:szCs w:val="24"/>
              </w:rPr>
            </w:pPr>
          </w:p>
        </w:tc>
        <w:tc>
          <w:tcPr>
            <w:tcW w:w="1203" w:type="dxa"/>
            <w:noWrap w:val="0"/>
            <w:vAlign w:val="top"/>
          </w:tcPr>
          <w:p>
            <w:pPr>
              <w:spacing w:line="240" w:lineRule="auto"/>
              <w:jc w:val="both"/>
              <w:rPr>
                <w:rFonts w:ascii="Times New Roman" w:hAnsi="Times New Roman" w:cs="Times New Roman"/>
                <w:szCs w:val="24"/>
              </w:rPr>
            </w:pPr>
          </w:p>
        </w:tc>
        <w:tc>
          <w:tcPr>
            <w:tcW w:w="1778" w:type="dxa"/>
            <w:noWrap w:val="0"/>
            <w:vAlign w:val="center"/>
          </w:tcPr>
          <w:p>
            <w:pPr>
              <w:spacing w:line="240" w:lineRule="auto"/>
              <w:jc w:val="both"/>
              <w:rPr>
                <w:rFonts w:ascii="Times New Roman" w:hAnsi="Times New Roman" w:cs="Times New Roman"/>
                <w:szCs w:val="24"/>
              </w:rPr>
            </w:pPr>
            <w:r>
              <w:rPr>
                <w:rFonts w:ascii="Times New Roman" w:hAnsi="Times New Roman" w:cs="Times New Roman"/>
                <w:szCs w:val="24"/>
              </w:rPr>
              <w:t>□符合  □不符合</w:t>
            </w:r>
          </w:p>
        </w:tc>
        <w:tc>
          <w:tcPr>
            <w:tcW w:w="814" w:type="dxa"/>
            <w:noWrap w:val="0"/>
            <w:vAlign w:val="center"/>
          </w:tcPr>
          <w:p>
            <w:pPr>
              <w:spacing w:line="240" w:lineRule="auto"/>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3" w:hRule="atLeast"/>
        </w:trPr>
        <w:tc>
          <w:tcPr>
            <w:tcW w:w="856" w:type="dxa"/>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7.1.4</w:t>
            </w:r>
          </w:p>
        </w:tc>
        <w:tc>
          <w:tcPr>
            <w:tcW w:w="1656"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单位温差输送系数</w:t>
            </w:r>
          </w:p>
        </w:tc>
        <w:tc>
          <w:tcPr>
            <w:tcW w:w="1948" w:type="dxa"/>
            <w:noWrap w:val="0"/>
            <w:vAlign w:val="center"/>
          </w:tcPr>
          <w:p>
            <w:pPr>
              <w:spacing w:line="240" w:lineRule="auto"/>
              <w:jc w:val="both"/>
              <w:rPr>
                <w:rFonts w:ascii="Times New Roman" w:hAnsi="Times New Roman" w:cs="Times New Roman"/>
                <w:szCs w:val="21"/>
              </w:rPr>
            </w:pPr>
            <w:r>
              <w:rPr>
                <w:rFonts w:ascii="Times New Roman" w:hAnsi="Times New Roman" w:cs="Times New Roman"/>
                <w:szCs w:val="21"/>
              </w:rPr>
              <w:t>水系统单位温差输送系数</w:t>
            </w:r>
          </w:p>
        </w:tc>
        <w:tc>
          <w:tcPr>
            <w:tcW w:w="1222" w:type="dxa"/>
            <w:noWrap w:val="0"/>
            <w:vAlign w:val="center"/>
          </w:tcPr>
          <w:p>
            <w:pPr>
              <w:spacing w:line="240" w:lineRule="auto"/>
              <w:jc w:val="both"/>
              <w:rPr>
                <w:rFonts w:ascii="Times New Roman" w:hAnsi="Times New Roman" w:cs="Times New Roman"/>
                <w:szCs w:val="24"/>
              </w:rPr>
            </w:pPr>
          </w:p>
        </w:tc>
        <w:tc>
          <w:tcPr>
            <w:tcW w:w="1203" w:type="dxa"/>
            <w:noWrap w:val="0"/>
            <w:vAlign w:val="top"/>
          </w:tcPr>
          <w:p>
            <w:pPr>
              <w:spacing w:line="240" w:lineRule="auto"/>
              <w:jc w:val="both"/>
              <w:rPr>
                <w:rFonts w:ascii="Times New Roman" w:hAnsi="Times New Roman" w:cs="Times New Roman"/>
                <w:szCs w:val="24"/>
              </w:rPr>
            </w:pPr>
          </w:p>
        </w:tc>
        <w:tc>
          <w:tcPr>
            <w:tcW w:w="1778" w:type="dxa"/>
            <w:noWrap w:val="0"/>
            <w:vAlign w:val="center"/>
          </w:tcPr>
          <w:p>
            <w:pPr>
              <w:spacing w:line="240" w:lineRule="auto"/>
              <w:jc w:val="both"/>
              <w:rPr>
                <w:rFonts w:ascii="Times New Roman" w:hAnsi="Times New Roman" w:cs="Times New Roman"/>
                <w:szCs w:val="24"/>
              </w:rPr>
            </w:pPr>
            <w:r>
              <w:rPr>
                <w:rFonts w:ascii="Times New Roman" w:hAnsi="Times New Roman" w:cs="Times New Roman"/>
                <w:szCs w:val="24"/>
              </w:rPr>
              <w:t>□符合  □不符合</w:t>
            </w:r>
          </w:p>
        </w:tc>
        <w:tc>
          <w:tcPr>
            <w:tcW w:w="814" w:type="dxa"/>
            <w:noWrap w:val="0"/>
            <w:vAlign w:val="center"/>
          </w:tcPr>
          <w:p>
            <w:pPr>
              <w:spacing w:line="240" w:lineRule="auto"/>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3" w:hRule="atLeast"/>
        </w:trPr>
        <w:tc>
          <w:tcPr>
            <w:tcW w:w="856" w:type="dxa"/>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7.1.6</w:t>
            </w:r>
          </w:p>
        </w:tc>
        <w:tc>
          <w:tcPr>
            <w:tcW w:w="1656"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风机单位风量耗功率</w:t>
            </w:r>
          </w:p>
        </w:tc>
        <w:tc>
          <w:tcPr>
            <w:tcW w:w="1948" w:type="dxa"/>
            <w:noWrap w:val="0"/>
            <w:vAlign w:val="center"/>
          </w:tcPr>
          <w:p>
            <w:pPr>
              <w:spacing w:line="240" w:lineRule="auto"/>
              <w:jc w:val="both"/>
              <w:rPr>
                <w:rFonts w:ascii="Times New Roman" w:hAnsi="Times New Roman" w:cs="Times New Roman"/>
                <w:szCs w:val="21"/>
              </w:rPr>
            </w:pPr>
            <w:r>
              <w:rPr>
                <w:rFonts w:ascii="Times New Roman" w:hAnsi="Times New Roman" w:cs="Times New Roman"/>
                <w:szCs w:val="21"/>
              </w:rPr>
              <w:t>风道系统风机单位风量耗功率</w:t>
            </w:r>
          </w:p>
        </w:tc>
        <w:tc>
          <w:tcPr>
            <w:tcW w:w="1222" w:type="dxa"/>
            <w:noWrap w:val="0"/>
            <w:vAlign w:val="center"/>
          </w:tcPr>
          <w:p>
            <w:pPr>
              <w:spacing w:line="240" w:lineRule="auto"/>
              <w:jc w:val="both"/>
              <w:rPr>
                <w:rFonts w:ascii="Times New Roman" w:hAnsi="Times New Roman" w:cs="Times New Roman"/>
                <w:szCs w:val="24"/>
              </w:rPr>
            </w:pPr>
          </w:p>
        </w:tc>
        <w:tc>
          <w:tcPr>
            <w:tcW w:w="1203" w:type="dxa"/>
            <w:noWrap w:val="0"/>
            <w:vAlign w:val="center"/>
          </w:tcPr>
          <w:p>
            <w:pPr>
              <w:spacing w:line="240" w:lineRule="auto"/>
              <w:jc w:val="both"/>
              <w:rPr>
                <w:rFonts w:ascii="Times New Roman" w:hAnsi="Times New Roman" w:cs="Times New Roman"/>
                <w:szCs w:val="24"/>
              </w:rPr>
            </w:pPr>
          </w:p>
        </w:tc>
        <w:tc>
          <w:tcPr>
            <w:tcW w:w="1778" w:type="dxa"/>
            <w:noWrap w:val="0"/>
            <w:vAlign w:val="center"/>
          </w:tcPr>
          <w:p>
            <w:pPr>
              <w:spacing w:line="240" w:lineRule="auto"/>
              <w:jc w:val="both"/>
              <w:rPr>
                <w:rFonts w:ascii="Times New Roman" w:hAnsi="Times New Roman" w:cs="Times New Roman"/>
                <w:szCs w:val="24"/>
              </w:rPr>
            </w:pPr>
            <w:r>
              <w:rPr>
                <w:rFonts w:ascii="Times New Roman" w:hAnsi="Times New Roman" w:cs="Times New Roman"/>
                <w:szCs w:val="24"/>
              </w:rPr>
              <w:t>□符合  □不符合</w:t>
            </w:r>
          </w:p>
        </w:tc>
        <w:tc>
          <w:tcPr>
            <w:tcW w:w="814" w:type="dxa"/>
            <w:noWrap w:val="0"/>
            <w:vAlign w:val="center"/>
          </w:tcPr>
          <w:p>
            <w:pPr>
              <w:spacing w:line="240" w:lineRule="auto"/>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56" w:type="dxa"/>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1"/>
              </w:rPr>
              <w:t>7.1.7</w:t>
            </w:r>
          </w:p>
        </w:tc>
        <w:tc>
          <w:tcPr>
            <w:tcW w:w="1656"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通风器风量</w:t>
            </w:r>
          </w:p>
        </w:tc>
        <w:tc>
          <w:tcPr>
            <w:tcW w:w="1948" w:type="dxa"/>
            <w:noWrap w:val="0"/>
            <w:vAlign w:val="center"/>
          </w:tcPr>
          <w:p>
            <w:pPr>
              <w:spacing w:line="240" w:lineRule="auto"/>
              <w:jc w:val="both"/>
              <w:rPr>
                <w:rFonts w:ascii="Times New Roman" w:hAnsi="Times New Roman" w:cs="Times New Roman"/>
                <w:szCs w:val="21"/>
              </w:rPr>
            </w:pPr>
            <w:r>
              <w:rPr>
                <w:rFonts w:ascii="Times New Roman" w:hAnsi="Times New Roman" w:cs="Times New Roman"/>
                <w:szCs w:val="21"/>
              </w:rPr>
              <w:t>通风器风量检测值</w:t>
            </w:r>
          </w:p>
        </w:tc>
        <w:tc>
          <w:tcPr>
            <w:tcW w:w="1222" w:type="dxa"/>
            <w:noWrap w:val="0"/>
            <w:vAlign w:val="center"/>
          </w:tcPr>
          <w:p>
            <w:pPr>
              <w:spacing w:line="240" w:lineRule="auto"/>
              <w:jc w:val="both"/>
              <w:rPr>
                <w:rFonts w:ascii="Times New Roman" w:hAnsi="Times New Roman" w:cs="Times New Roman"/>
                <w:szCs w:val="24"/>
              </w:rPr>
            </w:pPr>
          </w:p>
        </w:tc>
        <w:tc>
          <w:tcPr>
            <w:tcW w:w="1203" w:type="dxa"/>
            <w:noWrap w:val="0"/>
            <w:vAlign w:val="center"/>
          </w:tcPr>
          <w:p>
            <w:pPr>
              <w:spacing w:line="240" w:lineRule="auto"/>
              <w:jc w:val="both"/>
              <w:rPr>
                <w:rFonts w:ascii="Times New Roman" w:hAnsi="Times New Roman" w:cs="Times New Roman"/>
                <w:szCs w:val="24"/>
              </w:rPr>
            </w:pPr>
          </w:p>
        </w:tc>
        <w:tc>
          <w:tcPr>
            <w:tcW w:w="1778" w:type="dxa"/>
            <w:noWrap w:val="0"/>
            <w:vAlign w:val="top"/>
          </w:tcPr>
          <w:p>
            <w:pPr>
              <w:spacing w:line="240" w:lineRule="auto"/>
              <w:jc w:val="both"/>
              <w:rPr>
                <w:rFonts w:ascii="Times New Roman" w:hAnsi="Times New Roman" w:cs="Times New Roman"/>
                <w:szCs w:val="24"/>
              </w:rPr>
            </w:pPr>
            <w:r>
              <w:rPr>
                <w:rFonts w:ascii="Times New Roman" w:hAnsi="Times New Roman" w:cs="Times New Roman"/>
                <w:szCs w:val="24"/>
              </w:rPr>
              <w:t>□符合  □不符合</w:t>
            </w:r>
          </w:p>
        </w:tc>
        <w:tc>
          <w:tcPr>
            <w:tcW w:w="814" w:type="dxa"/>
            <w:noWrap w:val="0"/>
            <w:vAlign w:val="center"/>
          </w:tcPr>
          <w:p>
            <w:pPr>
              <w:spacing w:line="240" w:lineRule="auto"/>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56" w:type="dxa"/>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7.1.14</w:t>
            </w:r>
          </w:p>
        </w:tc>
        <w:tc>
          <w:tcPr>
            <w:tcW w:w="1656"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4"/>
              </w:rPr>
              <w:t>灯具效率</w:t>
            </w:r>
          </w:p>
        </w:tc>
        <w:tc>
          <w:tcPr>
            <w:tcW w:w="1948" w:type="dxa"/>
            <w:noWrap w:val="0"/>
            <w:vAlign w:val="center"/>
          </w:tcPr>
          <w:p>
            <w:pPr>
              <w:spacing w:line="240" w:lineRule="auto"/>
              <w:jc w:val="both"/>
              <w:rPr>
                <w:rFonts w:ascii="Times New Roman" w:hAnsi="Times New Roman" w:cs="Times New Roman"/>
                <w:szCs w:val="21"/>
              </w:rPr>
            </w:pPr>
            <w:r>
              <w:rPr>
                <w:rFonts w:ascii="Times New Roman" w:hAnsi="Times New Roman" w:cs="Times New Roman"/>
                <w:szCs w:val="21"/>
              </w:rPr>
              <w:t>灯具效率</w:t>
            </w:r>
          </w:p>
        </w:tc>
        <w:tc>
          <w:tcPr>
            <w:tcW w:w="1222" w:type="dxa"/>
            <w:noWrap w:val="0"/>
            <w:vAlign w:val="center"/>
          </w:tcPr>
          <w:p>
            <w:pPr>
              <w:spacing w:line="240" w:lineRule="auto"/>
              <w:jc w:val="both"/>
              <w:rPr>
                <w:rFonts w:ascii="Times New Roman" w:hAnsi="Times New Roman" w:cs="Times New Roman"/>
                <w:szCs w:val="24"/>
              </w:rPr>
            </w:pPr>
          </w:p>
        </w:tc>
        <w:tc>
          <w:tcPr>
            <w:tcW w:w="1203" w:type="dxa"/>
            <w:noWrap w:val="0"/>
            <w:vAlign w:val="top"/>
          </w:tcPr>
          <w:p>
            <w:pPr>
              <w:spacing w:line="240" w:lineRule="auto"/>
              <w:jc w:val="both"/>
              <w:rPr>
                <w:rFonts w:ascii="Times New Roman" w:hAnsi="Times New Roman" w:cs="Times New Roman"/>
                <w:szCs w:val="24"/>
              </w:rPr>
            </w:pPr>
          </w:p>
        </w:tc>
        <w:tc>
          <w:tcPr>
            <w:tcW w:w="1778" w:type="dxa"/>
            <w:noWrap w:val="0"/>
            <w:vAlign w:val="top"/>
          </w:tcPr>
          <w:p>
            <w:pPr>
              <w:spacing w:line="240" w:lineRule="auto"/>
              <w:jc w:val="both"/>
              <w:rPr>
                <w:rFonts w:ascii="Times New Roman" w:hAnsi="Times New Roman" w:cs="Times New Roman"/>
                <w:szCs w:val="24"/>
              </w:rPr>
            </w:pPr>
            <w:r>
              <w:rPr>
                <w:rFonts w:ascii="Times New Roman" w:hAnsi="Times New Roman" w:cs="Times New Roman"/>
                <w:szCs w:val="24"/>
              </w:rPr>
              <w:t>□符合  □不符合</w:t>
            </w:r>
          </w:p>
        </w:tc>
        <w:tc>
          <w:tcPr>
            <w:tcW w:w="814" w:type="dxa"/>
            <w:noWrap w:val="0"/>
            <w:vAlign w:val="center"/>
          </w:tcPr>
          <w:p>
            <w:pPr>
              <w:spacing w:line="240" w:lineRule="auto"/>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56" w:type="dxa"/>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7.1.15</w:t>
            </w:r>
          </w:p>
        </w:tc>
        <w:tc>
          <w:tcPr>
            <w:tcW w:w="1656"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4"/>
              </w:rPr>
              <w:t>谐波</w:t>
            </w:r>
            <w:r>
              <w:rPr>
                <w:rFonts w:ascii="Times New Roman" w:hAnsi="Times New Roman" w:cs="Times New Roman"/>
                <w:szCs w:val="22"/>
              </w:rPr>
              <w:t>含量</w:t>
            </w:r>
          </w:p>
        </w:tc>
        <w:tc>
          <w:tcPr>
            <w:tcW w:w="1948" w:type="dxa"/>
            <w:noWrap w:val="0"/>
            <w:vAlign w:val="top"/>
          </w:tcPr>
          <w:p>
            <w:pPr>
              <w:spacing w:line="240" w:lineRule="auto"/>
              <w:jc w:val="both"/>
              <w:rPr>
                <w:rFonts w:ascii="Times New Roman" w:hAnsi="Times New Roman" w:cs="Times New Roman"/>
                <w:szCs w:val="21"/>
              </w:rPr>
            </w:pPr>
            <w:r>
              <w:rPr>
                <w:rFonts w:ascii="Times New Roman" w:hAnsi="Times New Roman" w:cs="Times New Roman"/>
                <w:szCs w:val="21"/>
              </w:rPr>
              <w:t>谐波</w:t>
            </w:r>
            <w:r>
              <w:rPr>
                <w:rFonts w:ascii="Times New Roman" w:hAnsi="Times New Roman" w:cs="Times New Roman"/>
                <w:bCs/>
                <w:szCs w:val="21"/>
              </w:rPr>
              <w:t>电压</w:t>
            </w:r>
          </w:p>
        </w:tc>
        <w:tc>
          <w:tcPr>
            <w:tcW w:w="1222" w:type="dxa"/>
            <w:noWrap w:val="0"/>
            <w:vAlign w:val="center"/>
          </w:tcPr>
          <w:p>
            <w:pPr>
              <w:spacing w:line="240" w:lineRule="auto"/>
              <w:jc w:val="both"/>
              <w:rPr>
                <w:rFonts w:ascii="Times New Roman" w:hAnsi="Times New Roman" w:cs="Times New Roman"/>
                <w:szCs w:val="24"/>
              </w:rPr>
            </w:pPr>
          </w:p>
        </w:tc>
        <w:tc>
          <w:tcPr>
            <w:tcW w:w="1203" w:type="dxa"/>
            <w:noWrap w:val="0"/>
            <w:vAlign w:val="top"/>
          </w:tcPr>
          <w:p>
            <w:pPr>
              <w:spacing w:line="240" w:lineRule="auto"/>
              <w:jc w:val="both"/>
              <w:rPr>
                <w:rFonts w:ascii="Times New Roman" w:hAnsi="Times New Roman" w:cs="Times New Roman"/>
                <w:szCs w:val="24"/>
              </w:rPr>
            </w:pPr>
          </w:p>
        </w:tc>
        <w:tc>
          <w:tcPr>
            <w:tcW w:w="1778" w:type="dxa"/>
            <w:noWrap w:val="0"/>
            <w:vAlign w:val="top"/>
          </w:tcPr>
          <w:p>
            <w:pPr>
              <w:spacing w:line="240" w:lineRule="auto"/>
              <w:jc w:val="both"/>
              <w:rPr>
                <w:rFonts w:ascii="Times New Roman" w:hAnsi="Times New Roman" w:cs="Times New Roman"/>
                <w:szCs w:val="24"/>
              </w:rPr>
            </w:pPr>
            <w:r>
              <w:rPr>
                <w:rFonts w:ascii="Times New Roman" w:hAnsi="Times New Roman" w:cs="Times New Roman"/>
                <w:szCs w:val="24"/>
              </w:rPr>
              <w:t>□符合  □不符合</w:t>
            </w:r>
          </w:p>
        </w:tc>
        <w:tc>
          <w:tcPr>
            <w:tcW w:w="814" w:type="dxa"/>
            <w:noWrap w:val="0"/>
            <w:vAlign w:val="center"/>
          </w:tcPr>
          <w:p>
            <w:pPr>
              <w:spacing w:line="240" w:lineRule="auto"/>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56" w:type="dxa"/>
            <w:vMerge w:val="restar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7.1.19</w:t>
            </w:r>
          </w:p>
        </w:tc>
        <w:tc>
          <w:tcPr>
            <w:tcW w:w="1656" w:type="dxa"/>
            <w:vMerge w:val="restar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太阳能热水系统</w:t>
            </w:r>
          </w:p>
        </w:tc>
        <w:tc>
          <w:tcPr>
            <w:tcW w:w="1948" w:type="dxa"/>
            <w:noWrap w:val="0"/>
            <w:vAlign w:val="center"/>
          </w:tcPr>
          <w:p>
            <w:pPr>
              <w:spacing w:line="240" w:lineRule="auto"/>
              <w:jc w:val="both"/>
              <w:rPr>
                <w:rFonts w:ascii="Times New Roman" w:hAnsi="Times New Roman" w:cs="Times New Roman"/>
                <w:szCs w:val="24"/>
              </w:rPr>
            </w:pPr>
            <w:r>
              <w:rPr>
                <w:rFonts w:ascii="Times New Roman" w:hAnsi="Times New Roman" w:cs="Times New Roman"/>
                <w:szCs w:val="21"/>
              </w:rPr>
              <w:t>集热系统得热量</w:t>
            </w:r>
          </w:p>
        </w:tc>
        <w:tc>
          <w:tcPr>
            <w:tcW w:w="1222" w:type="dxa"/>
            <w:noWrap w:val="0"/>
            <w:vAlign w:val="center"/>
          </w:tcPr>
          <w:p>
            <w:pPr>
              <w:spacing w:line="240" w:lineRule="auto"/>
              <w:jc w:val="both"/>
              <w:rPr>
                <w:rFonts w:ascii="Times New Roman" w:hAnsi="Times New Roman" w:cs="Times New Roman"/>
                <w:szCs w:val="24"/>
              </w:rPr>
            </w:pPr>
          </w:p>
        </w:tc>
        <w:tc>
          <w:tcPr>
            <w:tcW w:w="1203" w:type="dxa"/>
            <w:noWrap w:val="0"/>
            <w:vAlign w:val="top"/>
          </w:tcPr>
          <w:p>
            <w:pPr>
              <w:spacing w:line="240" w:lineRule="auto"/>
              <w:jc w:val="both"/>
              <w:rPr>
                <w:rFonts w:ascii="Times New Roman" w:hAnsi="Times New Roman" w:cs="Times New Roman"/>
                <w:szCs w:val="24"/>
              </w:rPr>
            </w:pPr>
          </w:p>
        </w:tc>
        <w:tc>
          <w:tcPr>
            <w:tcW w:w="1778" w:type="dxa"/>
            <w:noWrap w:val="0"/>
            <w:vAlign w:val="top"/>
          </w:tcPr>
          <w:p>
            <w:pPr>
              <w:spacing w:line="240" w:lineRule="auto"/>
              <w:jc w:val="center"/>
              <w:rPr>
                <w:rFonts w:ascii="Times New Roman" w:hAnsi="Times New Roman" w:cs="Times New Roman"/>
                <w:szCs w:val="24"/>
              </w:rPr>
            </w:pPr>
            <w:r>
              <w:rPr>
                <w:rFonts w:ascii="Times New Roman" w:hAnsi="Times New Roman" w:cs="Times New Roman"/>
                <w:szCs w:val="24"/>
              </w:rPr>
              <w:t>□符合  □不符合</w:t>
            </w:r>
          </w:p>
        </w:tc>
        <w:tc>
          <w:tcPr>
            <w:tcW w:w="814" w:type="dxa"/>
            <w:noWrap w:val="0"/>
            <w:vAlign w:val="center"/>
          </w:tcPr>
          <w:p>
            <w:pPr>
              <w:spacing w:line="240" w:lineRule="auto"/>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56" w:type="dxa"/>
            <w:vMerge w:val="continue"/>
            <w:noWrap w:val="0"/>
            <w:vAlign w:val="center"/>
          </w:tcPr>
          <w:p>
            <w:pPr>
              <w:spacing w:line="240" w:lineRule="auto"/>
              <w:jc w:val="center"/>
              <w:rPr>
                <w:rFonts w:ascii="Times New Roman" w:hAnsi="Times New Roman" w:cs="Times New Roman"/>
                <w:szCs w:val="24"/>
              </w:rPr>
            </w:pPr>
          </w:p>
        </w:tc>
        <w:tc>
          <w:tcPr>
            <w:tcW w:w="1656" w:type="dxa"/>
            <w:vMerge w:val="continue"/>
            <w:noWrap w:val="0"/>
            <w:vAlign w:val="center"/>
          </w:tcPr>
          <w:p>
            <w:pPr>
              <w:spacing w:line="240" w:lineRule="auto"/>
              <w:jc w:val="both"/>
              <w:rPr>
                <w:rFonts w:ascii="Times New Roman" w:hAnsi="Times New Roman" w:cs="Times New Roman"/>
                <w:szCs w:val="24"/>
              </w:rPr>
            </w:pPr>
          </w:p>
        </w:tc>
        <w:tc>
          <w:tcPr>
            <w:tcW w:w="1948" w:type="dxa"/>
            <w:noWrap w:val="0"/>
            <w:vAlign w:val="center"/>
          </w:tcPr>
          <w:p>
            <w:pPr>
              <w:spacing w:line="240" w:lineRule="auto"/>
              <w:jc w:val="left"/>
              <w:rPr>
                <w:rFonts w:ascii="Times New Roman" w:hAnsi="Times New Roman" w:cs="Times New Roman"/>
                <w:szCs w:val="21"/>
                <w:lang w:val="zh-CN"/>
              </w:rPr>
            </w:pPr>
            <w:r>
              <w:rPr>
                <w:rFonts w:ascii="Times New Roman" w:hAnsi="Times New Roman" w:cs="Times New Roman"/>
                <w:szCs w:val="21"/>
              </w:rPr>
              <w:t>系统总能耗</w:t>
            </w:r>
          </w:p>
        </w:tc>
        <w:tc>
          <w:tcPr>
            <w:tcW w:w="1222" w:type="dxa"/>
            <w:noWrap w:val="0"/>
            <w:vAlign w:val="center"/>
          </w:tcPr>
          <w:p>
            <w:pPr>
              <w:spacing w:line="240" w:lineRule="auto"/>
              <w:jc w:val="both"/>
              <w:rPr>
                <w:rFonts w:ascii="Times New Roman" w:hAnsi="Times New Roman" w:cs="Times New Roman"/>
                <w:szCs w:val="24"/>
              </w:rPr>
            </w:pPr>
          </w:p>
        </w:tc>
        <w:tc>
          <w:tcPr>
            <w:tcW w:w="1203" w:type="dxa"/>
            <w:noWrap w:val="0"/>
            <w:vAlign w:val="top"/>
          </w:tcPr>
          <w:p>
            <w:pPr>
              <w:spacing w:line="240" w:lineRule="auto"/>
              <w:jc w:val="both"/>
              <w:rPr>
                <w:rFonts w:ascii="Times New Roman" w:hAnsi="Times New Roman" w:cs="Times New Roman"/>
                <w:szCs w:val="24"/>
              </w:rPr>
            </w:pPr>
          </w:p>
        </w:tc>
        <w:tc>
          <w:tcPr>
            <w:tcW w:w="1778" w:type="dxa"/>
            <w:noWrap w:val="0"/>
            <w:vAlign w:val="top"/>
          </w:tcPr>
          <w:p>
            <w:pPr>
              <w:spacing w:line="240" w:lineRule="auto"/>
              <w:jc w:val="center"/>
              <w:rPr>
                <w:rFonts w:ascii="Times New Roman" w:hAnsi="Times New Roman" w:cs="Times New Roman"/>
                <w:szCs w:val="24"/>
              </w:rPr>
            </w:pPr>
            <w:r>
              <w:rPr>
                <w:rFonts w:ascii="Times New Roman" w:hAnsi="Times New Roman" w:cs="Times New Roman"/>
                <w:szCs w:val="24"/>
              </w:rPr>
              <w:t>□符合  □不符合</w:t>
            </w:r>
          </w:p>
        </w:tc>
        <w:tc>
          <w:tcPr>
            <w:tcW w:w="814" w:type="dxa"/>
            <w:noWrap w:val="0"/>
            <w:vAlign w:val="center"/>
          </w:tcPr>
          <w:p>
            <w:pPr>
              <w:spacing w:line="240" w:lineRule="auto"/>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56" w:type="dxa"/>
            <w:vMerge w:val="continue"/>
            <w:noWrap w:val="0"/>
            <w:vAlign w:val="center"/>
          </w:tcPr>
          <w:p>
            <w:pPr>
              <w:spacing w:line="240" w:lineRule="auto"/>
              <w:jc w:val="center"/>
              <w:rPr>
                <w:rFonts w:ascii="Times New Roman" w:hAnsi="Times New Roman" w:cs="Times New Roman"/>
                <w:szCs w:val="24"/>
              </w:rPr>
            </w:pPr>
          </w:p>
        </w:tc>
        <w:tc>
          <w:tcPr>
            <w:tcW w:w="1656" w:type="dxa"/>
            <w:vMerge w:val="continue"/>
            <w:noWrap w:val="0"/>
            <w:vAlign w:val="center"/>
          </w:tcPr>
          <w:p>
            <w:pPr>
              <w:spacing w:line="240" w:lineRule="auto"/>
              <w:jc w:val="both"/>
              <w:rPr>
                <w:rFonts w:ascii="Times New Roman" w:hAnsi="Times New Roman" w:cs="Times New Roman"/>
                <w:szCs w:val="24"/>
              </w:rPr>
            </w:pPr>
          </w:p>
        </w:tc>
        <w:tc>
          <w:tcPr>
            <w:tcW w:w="1948" w:type="dxa"/>
            <w:noWrap w:val="0"/>
            <w:vAlign w:val="center"/>
          </w:tcPr>
          <w:p>
            <w:pPr>
              <w:spacing w:line="240" w:lineRule="auto"/>
              <w:jc w:val="left"/>
              <w:rPr>
                <w:rFonts w:ascii="Times New Roman" w:hAnsi="Times New Roman" w:cs="Times New Roman"/>
                <w:szCs w:val="21"/>
                <w:lang w:val="zh-CN"/>
              </w:rPr>
            </w:pPr>
            <w:r>
              <w:rPr>
                <w:rFonts w:ascii="Times New Roman" w:hAnsi="Times New Roman" w:cs="Times New Roman"/>
                <w:szCs w:val="21"/>
              </w:rPr>
              <w:t>太阳能保证率</w:t>
            </w:r>
          </w:p>
        </w:tc>
        <w:tc>
          <w:tcPr>
            <w:tcW w:w="1222" w:type="dxa"/>
            <w:noWrap w:val="0"/>
            <w:vAlign w:val="center"/>
          </w:tcPr>
          <w:p>
            <w:pPr>
              <w:spacing w:line="240" w:lineRule="auto"/>
              <w:jc w:val="both"/>
              <w:rPr>
                <w:rFonts w:ascii="Times New Roman" w:hAnsi="Times New Roman" w:cs="Times New Roman"/>
                <w:szCs w:val="24"/>
              </w:rPr>
            </w:pPr>
          </w:p>
        </w:tc>
        <w:tc>
          <w:tcPr>
            <w:tcW w:w="1203" w:type="dxa"/>
            <w:noWrap w:val="0"/>
            <w:vAlign w:val="top"/>
          </w:tcPr>
          <w:p>
            <w:pPr>
              <w:spacing w:line="240" w:lineRule="auto"/>
              <w:jc w:val="both"/>
              <w:rPr>
                <w:rFonts w:ascii="Times New Roman" w:hAnsi="Times New Roman" w:cs="Times New Roman"/>
                <w:szCs w:val="24"/>
              </w:rPr>
            </w:pPr>
          </w:p>
        </w:tc>
        <w:tc>
          <w:tcPr>
            <w:tcW w:w="1778" w:type="dxa"/>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□符合  □不符合</w:t>
            </w:r>
          </w:p>
        </w:tc>
        <w:tc>
          <w:tcPr>
            <w:tcW w:w="814" w:type="dxa"/>
            <w:noWrap w:val="0"/>
            <w:vAlign w:val="center"/>
          </w:tcPr>
          <w:p>
            <w:pPr>
              <w:spacing w:line="240" w:lineRule="auto"/>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56" w:type="dxa"/>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7.1.20</w:t>
            </w:r>
          </w:p>
        </w:tc>
        <w:tc>
          <w:tcPr>
            <w:tcW w:w="1656"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4"/>
              </w:rPr>
              <w:t>太阳能光伏系统</w:t>
            </w:r>
          </w:p>
        </w:tc>
        <w:tc>
          <w:tcPr>
            <w:tcW w:w="1948" w:type="dxa"/>
            <w:noWrap w:val="0"/>
            <w:vAlign w:val="center"/>
          </w:tcPr>
          <w:p>
            <w:pPr>
              <w:spacing w:line="240" w:lineRule="auto"/>
              <w:jc w:val="left"/>
              <w:rPr>
                <w:rFonts w:ascii="Times New Roman" w:hAnsi="Times New Roman" w:cs="Times New Roman"/>
                <w:szCs w:val="21"/>
              </w:rPr>
            </w:pPr>
            <w:r>
              <w:rPr>
                <w:rFonts w:ascii="Times New Roman" w:hAnsi="Times New Roman" w:cs="Times New Roman"/>
                <w:szCs w:val="21"/>
              </w:rPr>
              <w:t>全年发电量</w:t>
            </w:r>
          </w:p>
        </w:tc>
        <w:tc>
          <w:tcPr>
            <w:tcW w:w="1222" w:type="dxa"/>
            <w:noWrap w:val="0"/>
            <w:vAlign w:val="center"/>
          </w:tcPr>
          <w:p>
            <w:pPr>
              <w:spacing w:line="240" w:lineRule="auto"/>
              <w:jc w:val="both"/>
              <w:rPr>
                <w:rFonts w:ascii="Times New Roman" w:hAnsi="Times New Roman" w:cs="Times New Roman"/>
                <w:szCs w:val="24"/>
              </w:rPr>
            </w:pPr>
          </w:p>
        </w:tc>
        <w:tc>
          <w:tcPr>
            <w:tcW w:w="1203" w:type="dxa"/>
            <w:noWrap w:val="0"/>
            <w:vAlign w:val="top"/>
          </w:tcPr>
          <w:p>
            <w:pPr>
              <w:spacing w:line="240" w:lineRule="auto"/>
              <w:jc w:val="both"/>
              <w:rPr>
                <w:rFonts w:ascii="Times New Roman" w:hAnsi="Times New Roman" w:cs="Times New Roman"/>
                <w:szCs w:val="24"/>
              </w:rPr>
            </w:pPr>
          </w:p>
        </w:tc>
        <w:tc>
          <w:tcPr>
            <w:tcW w:w="1778" w:type="dxa"/>
            <w:noWrap w:val="0"/>
            <w:vAlign w:val="top"/>
          </w:tcPr>
          <w:p>
            <w:pPr>
              <w:spacing w:line="240" w:lineRule="auto"/>
              <w:jc w:val="center"/>
              <w:rPr>
                <w:rFonts w:ascii="Times New Roman" w:hAnsi="Times New Roman" w:cs="Times New Roman"/>
                <w:szCs w:val="24"/>
              </w:rPr>
            </w:pPr>
            <w:r>
              <w:rPr>
                <w:rFonts w:ascii="Times New Roman" w:hAnsi="Times New Roman" w:cs="Times New Roman"/>
                <w:szCs w:val="24"/>
              </w:rPr>
              <w:t>□符合  □不符合</w:t>
            </w:r>
          </w:p>
        </w:tc>
        <w:tc>
          <w:tcPr>
            <w:tcW w:w="814" w:type="dxa"/>
            <w:noWrap w:val="0"/>
            <w:vAlign w:val="center"/>
          </w:tcPr>
          <w:p>
            <w:pPr>
              <w:spacing w:line="240" w:lineRule="auto"/>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56" w:type="dxa"/>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7.1.21</w:t>
            </w:r>
          </w:p>
        </w:tc>
        <w:tc>
          <w:tcPr>
            <w:tcW w:w="1656"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4"/>
              </w:rPr>
              <w:t>太阳能空调</w:t>
            </w:r>
          </w:p>
        </w:tc>
        <w:tc>
          <w:tcPr>
            <w:tcW w:w="1948" w:type="dxa"/>
            <w:noWrap w:val="0"/>
            <w:vAlign w:val="center"/>
          </w:tcPr>
          <w:p>
            <w:pPr>
              <w:spacing w:line="240" w:lineRule="auto"/>
              <w:jc w:val="left"/>
              <w:rPr>
                <w:rFonts w:ascii="Times New Roman" w:hAnsi="Times New Roman" w:cs="Times New Roman"/>
                <w:szCs w:val="21"/>
              </w:rPr>
            </w:pPr>
            <w:r>
              <w:rPr>
                <w:rFonts w:ascii="Times New Roman" w:hAnsi="Times New Roman" w:cs="Times New Roman"/>
                <w:szCs w:val="24"/>
              </w:rPr>
              <w:t>太阳能空调制冷量</w:t>
            </w:r>
          </w:p>
        </w:tc>
        <w:tc>
          <w:tcPr>
            <w:tcW w:w="1222" w:type="dxa"/>
            <w:noWrap w:val="0"/>
            <w:vAlign w:val="center"/>
          </w:tcPr>
          <w:p>
            <w:pPr>
              <w:spacing w:line="240" w:lineRule="auto"/>
              <w:jc w:val="both"/>
              <w:rPr>
                <w:rFonts w:ascii="Times New Roman" w:hAnsi="Times New Roman" w:cs="Times New Roman"/>
                <w:szCs w:val="24"/>
              </w:rPr>
            </w:pPr>
          </w:p>
        </w:tc>
        <w:tc>
          <w:tcPr>
            <w:tcW w:w="1203" w:type="dxa"/>
            <w:noWrap w:val="0"/>
            <w:vAlign w:val="top"/>
          </w:tcPr>
          <w:p>
            <w:pPr>
              <w:spacing w:line="240" w:lineRule="auto"/>
              <w:jc w:val="both"/>
              <w:rPr>
                <w:rFonts w:ascii="Times New Roman" w:hAnsi="Times New Roman" w:cs="Times New Roman"/>
                <w:szCs w:val="24"/>
              </w:rPr>
            </w:pPr>
          </w:p>
        </w:tc>
        <w:tc>
          <w:tcPr>
            <w:tcW w:w="1778" w:type="dxa"/>
            <w:noWrap w:val="0"/>
            <w:vAlign w:val="top"/>
          </w:tcPr>
          <w:p>
            <w:pPr>
              <w:spacing w:line="240" w:lineRule="auto"/>
              <w:jc w:val="center"/>
              <w:rPr>
                <w:rFonts w:ascii="Times New Roman" w:hAnsi="Times New Roman" w:cs="Times New Roman"/>
                <w:szCs w:val="24"/>
              </w:rPr>
            </w:pPr>
            <w:r>
              <w:rPr>
                <w:rFonts w:ascii="Times New Roman" w:hAnsi="Times New Roman" w:cs="Times New Roman"/>
                <w:szCs w:val="24"/>
              </w:rPr>
              <w:t>□符合  □不符合</w:t>
            </w:r>
          </w:p>
        </w:tc>
        <w:tc>
          <w:tcPr>
            <w:tcW w:w="814" w:type="dxa"/>
            <w:noWrap w:val="0"/>
            <w:vAlign w:val="center"/>
          </w:tcPr>
          <w:p>
            <w:pPr>
              <w:spacing w:line="240" w:lineRule="auto"/>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56" w:type="dxa"/>
            <w:vMerge w:val="restar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7.1.22</w:t>
            </w:r>
          </w:p>
        </w:tc>
        <w:tc>
          <w:tcPr>
            <w:tcW w:w="1656" w:type="dxa"/>
            <w:vMerge w:val="restart"/>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2"/>
              </w:rPr>
              <w:t>地源热泵系统</w:t>
            </w:r>
          </w:p>
        </w:tc>
        <w:tc>
          <w:tcPr>
            <w:tcW w:w="1948" w:type="dxa"/>
            <w:noWrap w:val="0"/>
            <w:vAlign w:val="center"/>
          </w:tcPr>
          <w:p>
            <w:pPr>
              <w:spacing w:line="240" w:lineRule="auto"/>
              <w:jc w:val="left"/>
              <w:rPr>
                <w:rFonts w:ascii="Times New Roman" w:hAnsi="Times New Roman" w:cs="Times New Roman"/>
                <w:szCs w:val="21"/>
              </w:rPr>
            </w:pPr>
            <w:r>
              <w:rPr>
                <w:rFonts w:ascii="Times New Roman" w:hAnsi="Times New Roman" w:cs="Times New Roman"/>
                <w:szCs w:val="21"/>
              </w:rPr>
              <w:t>制冷量</w:t>
            </w:r>
          </w:p>
        </w:tc>
        <w:tc>
          <w:tcPr>
            <w:tcW w:w="1222" w:type="dxa"/>
            <w:noWrap w:val="0"/>
            <w:vAlign w:val="center"/>
          </w:tcPr>
          <w:p>
            <w:pPr>
              <w:spacing w:line="240" w:lineRule="auto"/>
              <w:jc w:val="both"/>
              <w:rPr>
                <w:rFonts w:ascii="Times New Roman" w:hAnsi="Times New Roman" w:cs="Times New Roman"/>
                <w:szCs w:val="24"/>
              </w:rPr>
            </w:pPr>
          </w:p>
        </w:tc>
        <w:tc>
          <w:tcPr>
            <w:tcW w:w="1203" w:type="dxa"/>
            <w:noWrap w:val="0"/>
            <w:vAlign w:val="top"/>
          </w:tcPr>
          <w:p>
            <w:pPr>
              <w:spacing w:line="240" w:lineRule="auto"/>
              <w:jc w:val="both"/>
              <w:rPr>
                <w:rFonts w:ascii="Times New Roman" w:hAnsi="Times New Roman" w:cs="Times New Roman"/>
                <w:szCs w:val="24"/>
              </w:rPr>
            </w:pPr>
          </w:p>
        </w:tc>
        <w:tc>
          <w:tcPr>
            <w:tcW w:w="1778" w:type="dxa"/>
            <w:noWrap w:val="0"/>
            <w:vAlign w:val="top"/>
          </w:tcPr>
          <w:p>
            <w:pPr>
              <w:spacing w:line="240" w:lineRule="auto"/>
              <w:jc w:val="center"/>
              <w:rPr>
                <w:rFonts w:ascii="Times New Roman" w:hAnsi="Times New Roman" w:cs="Times New Roman"/>
                <w:szCs w:val="24"/>
              </w:rPr>
            </w:pPr>
            <w:r>
              <w:rPr>
                <w:rFonts w:ascii="Times New Roman" w:hAnsi="Times New Roman" w:cs="Times New Roman"/>
                <w:szCs w:val="24"/>
              </w:rPr>
              <w:t>□符合  □不符合</w:t>
            </w:r>
          </w:p>
        </w:tc>
        <w:tc>
          <w:tcPr>
            <w:tcW w:w="814" w:type="dxa"/>
            <w:noWrap w:val="0"/>
            <w:vAlign w:val="center"/>
          </w:tcPr>
          <w:p>
            <w:pPr>
              <w:spacing w:line="240" w:lineRule="auto"/>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56" w:type="dxa"/>
            <w:vMerge w:val="continue"/>
            <w:noWrap w:val="0"/>
            <w:vAlign w:val="center"/>
          </w:tcPr>
          <w:p>
            <w:pPr>
              <w:spacing w:line="240" w:lineRule="auto"/>
              <w:jc w:val="center"/>
              <w:rPr>
                <w:rFonts w:ascii="Times New Roman" w:hAnsi="Times New Roman" w:cs="Times New Roman"/>
                <w:szCs w:val="24"/>
              </w:rPr>
            </w:pPr>
          </w:p>
        </w:tc>
        <w:tc>
          <w:tcPr>
            <w:tcW w:w="1656" w:type="dxa"/>
            <w:vMerge w:val="continue"/>
            <w:noWrap w:val="0"/>
            <w:vAlign w:val="center"/>
          </w:tcPr>
          <w:p>
            <w:pPr>
              <w:spacing w:line="240" w:lineRule="auto"/>
              <w:jc w:val="both"/>
              <w:rPr>
                <w:rFonts w:ascii="Times New Roman" w:hAnsi="Times New Roman" w:cs="Times New Roman"/>
                <w:szCs w:val="21"/>
              </w:rPr>
            </w:pPr>
          </w:p>
        </w:tc>
        <w:tc>
          <w:tcPr>
            <w:tcW w:w="1948" w:type="dxa"/>
            <w:noWrap w:val="0"/>
            <w:vAlign w:val="center"/>
          </w:tcPr>
          <w:p>
            <w:pPr>
              <w:spacing w:line="240" w:lineRule="auto"/>
              <w:jc w:val="left"/>
              <w:rPr>
                <w:rFonts w:ascii="Times New Roman" w:hAnsi="Times New Roman" w:cs="Times New Roman"/>
                <w:szCs w:val="21"/>
              </w:rPr>
            </w:pPr>
            <w:r>
              <w:rPr>
                <w:rFonts w:ascii="Times New Roman" w:hAnsi="Times New Roman" w:cs="Times New Roman"/>
                <w:szCs w:val="21"/>
              </w:rPr>
              <w:t>制热量</w:t>
            </w:r>
          </w:p>
        </w:tc>
        <w:tc>
          <w:tcPr>
            <w:tcW w:w="1222" w:type="dxa"/>
            <w:noWrap w:val="0"/>
            <w:vAlign w:val="center"/>
          </w:tcPr>
          <w:p>
            <w:pPr>
              <w:spacing w:line="240" w:lineRule="auto"/>
              <w:jc w:val="both"/>
              <w:rPr>
                <w:rFonts w:ascii="Times New Roman" w:hAnsi="Times New Roman" w:cs="Times New Roman"/>
                <w:szCs w:val="24"/>
              </w:rPr>
            </w:pPr>
          </w:p>
        </w:tc>
        <w:tc>
          <w:tcPr>
            <w:tcW w:w="1203" w:type="dxa"/>
            <w:noWrap w:val="0"/>
            <w:vAlign w:val="top"/>
          </w:tcPr>
          <w:p>
            <w:pPr>
              <w:spacing w:line="240" w:lineRule="auto"/>
              <w:jc w:val="both"/>
              <w:rPr>
                <w:rFonts w:ascii="Times New Roman" w:hAnsi="Times New Roman" w:cs="Times New Roman"/>
                <w:szCs w:val="24"/>
              </w:rPr>
            </w:pPr>
          </w:p>
        </w:tc>
        <w:tc>
          <w:tcPr>
            <w:tcW w:w="1778" w:type="dxa"/>
            <w:noWrap w:val="0"/>
            <w:vAlign w:val="top"/>
          </w:tcPr>
          <w:p>
            <w:pPr>
              <w:spacing w:line="240" w:lineRule="auto"/>
              <w:jc w:val="center"/>
              <w:rPr>
                <w:rFonts w:ascii="Times New Roman" w:hAnsi="Times New Roman" w:cs="Times New Roman"/>
                <w:szCs w:val="24"/>
              </w:rPr>
            </w:pPr>
            <w:r>
              <w:rPr>
                <w:rFonts w:ascii="Times New Roman" w:hAnsi="Times New Roman" w:cs="Times New Roman"/>
                <w:szCs w:val="24"/>
              </w:rPr>
              <w:t>□符合  □不符合</w:t>
            </w:r>
          </w:p>
        </w:tc>
        <w:tc>
          <w:tcPr>
            <w:tcW w:w="814" w:type="dxa"/>
            <w:noWrap w:val="0"/>
            <w:vAlign w:val="center"/>
          </w:tcPr>
          <w:p>
            <w:pPr>
              <w:spacing w:line="240" w:lineRule="auto"/>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3" w:hRule="atLeast"/>
        </w:trPr>
        <w:tc>
          <w:tcPr>
            <w:tcW w:w="856" w:type="dxa"/>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7.2.1</w:t>
            </w:r>
          </w:p>
        </w:tc>
        <w:tc>
          <w:tcPr>
            <w:tcW w:w="1656" w:type="dxa"/>
            <w:noWrap w:val="0"/>
            <w:vAlign w:val="center"/>
          </w:tcPr>
          <w:p>
            <w:pPr>
              <w:spacing w:line="240" w:lineRule="auto"/>
              <w:jc w:val="center"/>
              <w:rPr>
                <w:rFonts w:ascii="Times New Roman" w:hAnsi="Times New Roman" w:cs="Times New Roman"/>
                <w:szCs w:val="22"/>
              </w:rPr>
            </w:pPr>
            <w:r>
              <w:rPr>
                <w:rFonts w:ascii="Times New Roman" w:hAnsi="Times New Roman" w:cs="Times New Roman"/>
                <w:szCs w:val="24"/>
              </w:rPr>
              <w:t>供水压力</w:t>
            </w:r>
          </w:p>
        </w:tc>
        <w:tc>
          <w:tcPr>
            <w:tcW w:w="1948" w:type="dxa"/>
            <w:noWrap w:val="0"/>
            <w:vAlign w:val="center"/>
          </w:tcPr>
          <w:p>
            <w:pPr>
              <w:spacing w:line="240" w:lineRule="auto"/>
              <w:jc w:val="left"/>
              <w:rPr>
                <w:rFonts w:ascii="Times New Roman" w:hAnsi="Times New Roman" w:cs="Times New Roman"/>
                <w:szCs w:val="21"/>
              </w:rPr>
            </w:pPr>
            <w:r>
              <w:rPr>
                <w:rFonts w:ascii="Times New Roman" w:hAnsi="Times New Roman" w:cs="Times New Roman"/>
                <w:szCs w:val="21"/>
              </w:rPr>
              <w:t>入户管表前供水压力</w:t>
            </w:r>
          </w:p>
        </w:tc>
        <w:tc>
          <w:tcPr>
            <w:tcW w:w="1222" w:type="dxa"/>
            <w:noWrap w:val="0"/>
            <w:vAlign w:val="center"/>
          </w:tcPr>
          <w:p>
            <w:pPr>
              <w:spacing w:line="240" w:lineRule="auto"/>
              <w:jc w:val="both"/>
              <w:rPr>
                <w:rFonts w:ascii="Times New Roman" w:hAnsi="Times New Roman" w:cs="Times New Roman"/>
                <w:szCs w:val="24"/>
              </w:rPr>
            </w:pPr>
          </w:p>
        </w:tc>
        <w:tc>
          <w:tcPr>
            <w:tcW w:w="1203" w:type="dxa"/>
            <w:noWrap w:val="0"/>
            <w:vAlign w:val="top"/>
          </w:tcPr>
          <w:p>
            <w:pPr>
              <w:spacing w:line="240" w:lineRule="auto"/>
              <w:jc w:val="both"/>
              <w:rPr>
                <w:rFonts w:ascii="Times New Roman" w:hAnsi="Times New Roman" w:cs="Times New Roman"/>
                <w:szCs w:val="24"/>
              </w:rPr>
            </w:pPr>
          </w:p>
        </w:tc>
        <w:tc>
          <w:tcPr>
            <w:tcW w:w="1778" w:type="dxa"/>
            <w:noWrap w:val="0"/>
            <w:vAlign w:val="top"/>
          </w:tcPr>
          <w:p>
            <w:pPr>
              <w:spacing w:line="240" w:lineRule="auto"/>
              <w:jc w:val="center"/>
              <w:rPr>
                <w:rFonts w:ascii="Times New Roman" w:hAnsi="Times New Roman" w:cs="Times New Roman"/>
                <w:szCs w:val="24"/>
              </w:rPr>
            </w:pPr>
            <w:r>
              <w:rPr>
                <w:rFonts w:ascii="Times New Roman" w:hAnsi="Times New Roman" w:cs="Times New Roman"/>
                <w:szCs w:val="24"/>
              </w:rPr>
              <w:t>□符合  □不符合</w:t>
            </w:r>
          </w:p>
        </w:tc>
        <w:tc>
          <w:tcPr>
            <w:tcW w:w="814" w:type="dxa"/>
            <w:noWrap w:val="0"/>
            <w:vAlign w:val="center"/>
          </w:tcPr>
          <w:p>
            <w:pPr>
              <w:spacing w:line="240" w:lineRule="auto"/>
              <w:jc w:val="both"/>
              <w:rPr>
                <w:rFonts w:ascii="Times New Roman" w:hAnsi="Times New Roman" w:cs="Times New Roman"/>
                <w:szCs w:val="24"/>
              </w:rPr>
            </w:pPr>
          </w:p>
        </w:tc>
      </w:tr>
    </w:tbl>
    <w:p>
      <w:pPr>
        <w:spacing w:line="240" w:lineRule="auto"/>
        <w:jc w:val="right"/>
        <w:rPr>
          <w:rFonts w:ascii="Times New Roman" w:hAnsi="Times New Roman" w:eastAsia="黑体" w:cs="Times New Roman"/>
          <w:szCs w:val="24"/>
          <w:lang w:val="zh-CN"/>
        </w:rPr>
      </w:pPr>
      <w:r>
        <w:rPr>
          <w:rFonts w:ascii="Times New Roman" w:hAnsi="Times New Roman" w:eastAsia="黑体" w:cs="Times New Roman"/>
          <w:szCs w:val="24"/>
          <w:lang w:val="zh-CN"/>
        </w:rPr>
        <w:t>续表A.0.2-3</w:t>
      </w:r>
    </w:p>
    <w:tbl>
      <w:tblPr>
        <w:tblStyle w:val="1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1"/>
        <w:gridCol w:w="1763"/>
        <w:gridCol w:w="2235"/>
        <w:gridCol w:w="1224"/>
        <w:gridCol w:w="1007"/>
        <w:gridCol w:w="1747"/>
        <w:gridCol w:w="7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335" w:type="pc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条文号</w:t>
            </w:r>
          </w:p>
        </w:tc>
        <w:tc>
          <w:tcPr>
            <w:tcW w:w="940" w:type="pc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检验参数</w:t>
            </w:r>
          </w:p>
        </w:tc>
        <w:tc>
          <w:tcPr>
            <w:tcW w:w="1188" w:type="pct"/>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检验内容</w:t>
            </w:r>
          </w:p>
        </w:tc>
        <w:tc>
          <w:tcPr>
            <w:tcW w:w="655" w:type="pc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实测结果</w:t>
            </w:r>
          </w:p>
        </w:tc>
        <w:tc>
          <w:tcPr>
            <w:tcW w:w="541" w:type="pc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1"/>
              </w:rPr>
              <w:t>标准或</w:t>
            </w:r>
            <w:r>
              <w:rPr>
                <w:rFonts w:ascii="Times New Roman" w:hAnsi="Times New Roman" w:cs="Times New Roman"/>
                <w:szCs w:val="24"/>
              </w:rPr>
              <w:t>设计要求值</w:t>
            </w:r>
          </w:p>
        </w:tc>
        <w:tc>
          <w:tcPr>
            <w:tcW w:w="931" w:type="pct"/>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检验结论</w:t>
            </w:r>
          </w:p>
        </w:tc>
        <w:tc>
          <w:tcPr>
            <w:tcW w:w="407" w:type="pc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5" w:type="pct"/>
            <w:vMerge w:val="restar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7.2.4</w:t>
            </w:r>
          </w:p>
        </w:tc>
        <w:tc>
          <w:tcPr>
            <w:tcW w:w="940" w:type="pct"/>
            <w:vMerge w:val="restart"/>
            <w:noWrap w:val="0"/>
            <w:vAlign w:val="center"/>
          </w:tcPr>
          <w:p>
            <w:pPr>
              <w:spacing w:line="240" w:lineRule="auto"/>
              <w:jc w:val="center"/>
              <w:rPr>
                <w:rFonts w:ascii="Times New Roman" w:hAnsi="Times New Roman" w:cs="Times New Roman"/>
                <w:szCs w:val="22"/>
              </w:rPr>
            </w:pPr>
            <w:r>
              <w:rPr>
                <w:rFonts w:ascii="Times New Roman" w:hAnsi="Times New Roman" w:cs="Times New Roman"/>
                <w:kern w:val="0"/>
                <w:sz w:val="22"/>
                <w:szCs w:val="24"/>
              </w:rPr>
              <w:t>无需永久灌溉植物</w:t>
            </w:r>
          </w:p>
        </w:tc>
        <w:tc>
          <w:tcPr>
            <w:tcW w:w="1188" w:type="pct"/>
            <w:noWrap w:val="0"/>
            <w:vAlign w:val="center"/>
          </w:tcPr>
          <w:p>
            <w:pPr>
              <w:spacing w:line="240" w:lineRule="auto"/>
              <w:jc w:val="left"/>
              <w:rPr>
                <w:rFonts w:ascii="Times New Roman" w:hAnsi="Times New Roman" w:cs="Times New Roman"/>
                <w:szCs w:val="21"/>
              </w:rPr>
            </w:pPr>
            <w:r>
              <w:rPr>
                <w:rFonts w:ascii="Times New Roman" w:hAnsi="Times New Roman" w:cs="Times New Roman"/>
                <w:kern w:val="0"/>
                <w:szCs w:val="21"/>
              </w:rPr>
              <w:t>植物类型</w:t>
            </w:r>
          </w:p>
        </w:tc>
        <w:tc>
          <w:tcPr>
            <w:tcW w:w="655" w:type="pct"/>
            <w:noWrap w:val="0"/>
            <w:vAlign w:val="center"/>
          </w:tcPr>
          <w:p>
            <w:pPr>
              <w:spacing w:line="240" w:lineRule="auto"/>
              <w:jc w:val="both"/>
              <w:rPr>
                <w:rFonts w:ascii="Times New Roman" w:hAnsi="Times New Roman" w:cs="Times New Roman"/>
                <w:szCs w:val="24"/>
              </w:rPr>
            </w:pPr>
          </w:p>
        </w:tc>
        <w:tc>
          <w:tcPr>
            <w:tcW w:w="541" w:type="pct"/>
            <w:noWrap w:val="0"/>
            <w:vAlign w:val="top"/>
          </w:tcPr>
          <w:p>
            <w:pPr>
              <w:spacing w:line="240" w:lineRule="auto"/>
              <w:jc w:val="both"/>
              <w:rPr>
                <w:rFonts w:ascii="Times New Roman" w:hAnsi="Times New Roman" w:cs="Times New Roman"/>
                <w:szCs w:val="24"/>
              </w:rPr>
            </w:pPr>
          </w:p>
        </w:tc>
        <w:tc>
          <w:tcPr>
            <w:tcW w:w="931" w:type="pc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□符合  □不符合</w:t>
            </w:r>
          </w:p>
        </w:tc>
        <w:tc>
          <w:tcPr>
            <w:tcW w:w="407" w:type="pct"/>
            <w:noWrap w:val="0"/>
            <w:vAlign w:val="center"/>
          </w:tcPr>
          <w:p>
            <w:pPr>
              <w:spacing w:line="240" w:lineRule="auto"/>
              <w:jc w:val="center"/>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5" w:type="pct"/>
            <w:vMerge w:val="continue"/>
            <w:noWrap w:val="0"/>
            <w:vAlign w:val="center"/>
          </w:tcPr>
          <w:p>
            <w:pPr>
              <w:spacing w:line="240" w:lineRule="auto"/>
              <w:jc w:val="center"/>
              <w:rPr>
                <w:rFonts w:ascii="Times New Roman" w:hAnsi="Times New Roman" w:cs="Times New Roman"/>
                <w:szCs w:val="24"/>
              </w:rPr>
            </w:pPr>
          </w:p>
        </w:tc>
        <w:tc>
          <w:tcPr>
            <w:tcW w:w="940" w:type="pct"/>
            <w:vMerge w:val="continue"/>
            <w:noWrap w:val="0"/>
            <w:vAlign w:val="center"/>
          </w:tcPr>
          <w:p>
            <w:pPr>
              <w:spacing w:line="240" w:lineRule="auto"/>
              <w:jc w:val="both"/>
              <w:rPr>
                <w:rFonts w:ascii="Times New Roman" w:hAnsi="Times New Roman" w:cs="Times New Roman"/>
                <w:szCs w:val="24"/>
              </w:rPr>
            </w:pPr>
          </w:p>
        </w:tc>
        <w:tc>
          <w:tcPr>
            <w:tcW w:w="1188" w:type="pct"/>
            <w:noWrap w:val="0"/>
            <w:vAlign w:val="center"/>
          </w:tcPr>
          <w:p>
            <w:pPr>
              <w:spacing w:line="240" w:lineRule="auto"/>
              <w:jc w:val="left"/>
              <w:rPr>
                <w:rFonts w:ascii="Times New Roman" w:hAnsi="Times New Roman" w:cs="Times New Roman"/>
                <w:szCs w:val="21"/>
              </w:rPr>
            </w:pPr>
            <w:r>
              <w:rPr>
                <w:rFonts w:ascii="Times New Roman" w:hAnsi="Times New Roman" w:cs="Times New Roman"/>
                <w:kern w:val="0"/>
                <w:szCs w:val="21"/>
              </w:rPr>
              <w:t>种植面积</w:t>
            </w:r>
          </w:p>
        </w:tc>
        <w:tc>
          <w:tcPr>
            <w:tcW w:w="655" w:type="pct"/>
            <w:noWrap w:val="0"/>
            <w:vAlign w:val="center"/>
          </w:tcPr>
          <w:p>
            <w:pPr>
              <w:spacing w:line="240" w:lineRule="auto"/>
              <w:jc w:val="both"/>
              <w:rPr>
                <w:rFonts w:ascii="Times New Roman" w:hAnsi="Times New Roman" w:cs="Times New Roman"/>
                <w:szCs w:val="24"/>
              </w:rPr>
            </w:pPr>
          </w:p>
        </w:tc>
        <w:tc>
          <w:tcPr>
            <w:tcW w:w="541" w:type="pct"/>
            <w:noWrap w:val="0"/>
            <w:vAlign w:val="top"/>
          </w:tcPr>
          <w:p>
            <w:pPr>
              <w:spacing w:line="240" w:lineRule="auto"/>
              <w:jc w:val="both"/>
              <w:rPr>
                <w:rFonts w:ascii="Times New Roman" w:hAnsi="Times New Roman" w:cs="Times New Roman"/>
                <w:szCs w:val="24"/>
              </w:rPr>
            </w:pPr>
          </w:p>
        </w:tc>
        <w:tc>
          <w:tcPr>
            <w:tcW w:w="931" w:type="pc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□符合  □不符合</w:t>
            </w:r>
          </w:p>
        </w:tc>
        <w:tc>
          <w:tcPr>
            <w:tcW w:w="407" w:type="pct"/>
            <w:noWrap w:val="0"/>
            <w:vAlign w:val="center"/>
          </w:tcPr>
          <w:p>
            <w:pPr>
              <w:spacing w:line="240" w:lineRule="auto"/>
              <w:jc w:val="center"/>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5" w:type="pc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8.1.2</w:t>
            </w:r>
          </w:p>
        </w:tc>
        <w:tc>
          <w:tcPr>
            <w:tcW w:w="940" w:type="pc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年径流总量控制率</w:t>
            </w:r>
          </w:p>
        </w:tc>
        <w:tc>
          <w:tcPr>
            <w:tcW w:w="1188" w:type="pct"/>
            <w:noWrap w:val="0"/>
            <w:vAlign w:val="center"/>
          </w:tcPr>
          <w:p>
            <w:pPr>
              <w:spacing w:line="240" w:lineRule="auto"/>
              <w:jc w:val="both"/>
              <w:rPr>
                <w:rFonts w:ascii="Times New Roman" w:hAnsi="Times New Roman" w:cs="Times New Roman"/>
                <w:szCs w:val="21"/>
              </w:rPr>
            </w:pPr>
            <w:r>
              <w:rPr>
                <w:rFonts w:ascii="Times New Roman" w:hAnsi="Times New Roman" w:cs="Times New Roman"/>
                <w:szCs w:val="21"/>
              </w:rPr>
              <w:t>场地年径流总量控制率</w:t>
            </w:r>
          </w:p>
        </w:tc>
        <w:tc>
          <w:tcPr>
            <w:tcW w:w="655" w:type="pct"/>
            <w:noWrap w:val="0"/>
            <w:vAlign w:val="center"/>
          </w:tcPr>
          <w:p>
            <w:pPr>
              <w:spacing w:line="240" w:lineRule="auto"/>
              <w:jc w:val="center"/>
              <w:rPr>
                <w:rFonts w:ascii="Times New Roman" w:hAnsi="Times New Roman" w:cs="Times New Roman"/>
                <w:szCs w:val="24"/>
              </w:rPr>
            </w:pPr>
          </w:p>
        </w:tc>
        <w:tc>
          <w:tcPr>
            <w:tcW w:w="541" w:type="pct"/>
            <w:noWrap w:val="0"/>
            <w:vAlign w:val="top"/>
          </w:tcPr>
          <w:p>
            <w:pPr>
              <w:spacing w:line="240" w:lineRule="auto"/>
              <w:jc w:val="center"/>
              <w:rPr>
                <w:rFonts w:ascii="Times New Roman" w:hAnsi="Times New Roman" w:cs="Times New Roman"/>
                <w:szCs w:val="21"/>
              </w:rPr>
            </w:pPr>
          </w:p>
        </w:tc>
        <w:tc>
          <w:tcPr>
            <w:tcW w:w="931" w:type="pc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□符合  □不符合</w:t>
            </w:r>
          </w:p>
        </w:tc>
        <w:tc>
          <w:tcPr>
            <w:tcW w:w="407" w:type="pct"/>
            <w:noWrap w:val="0"/>
            <w:vAlign w:val="center"/>
          </w:tcPr>
          <w:p>
            <w:pPr>
              <w:spacing w:line="240" w:lineRule="auto"/>
              <w:jc w:val="center"/>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5" w:type="pc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8.1.3</w:t>
            </w:r>
          </w:p>
        </w:tc>
        <w:tc>
          <w:tcPr>
            <w:tcW w:w="940" w:type="pc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绿化覆盖率</w:t>
            </w:r>
          </w:p>
        </w:tc>
        <w:tc>
          <w:tcPr>
            <w:tcW w:w="1188" w:type="pct"/>
            <w:noWrap w:val="0"/>
            <w:vAlign w:val="center"/>
          </w:tcPr>
          <w:p>
            <w:pPr>
              <w:spacing w:line="240" w:lineRule="auto"/>
              <w:jc w:val="both"/>
              <w:rPr>
                <w:rFonts w:ascii="Times New Roman" w:hAnsi="Times New Roman" w:cs="Times New Roman"/>
                <w:szCs w:val="21"/>
              </w:rPr>
            </w:pPr>
            <w:r>
              <w:rPr>
                <w:rFonts w:ascii="Times New Roman" w:hAnsi="Times New Roman" w:cs="Times New Roman"/>
                <w:szCs w:val="21"/>
              </w:rPr>
              <w:t>场地绿化覆盖率</w:t>
            </w:r>
          </w:p>
        </w:tc>
        <w:tc>
          <w:tcPr>
            <w:tcW w:w="655" w:type="pct"/>
            <w:noWrap w:val="0"/>
            <w:vAlign w:val="center"/>
          </w:tcPr>
          <w:p>
            <w:pPr>
              <w:spacing w:line="240" w:lineRule="auto"/>
              <w:jc w:val="both"/>
              <w:rPr>
                <w:rFonts w:ascii="Times New Roman" w:hAnsi="Times New Roman" w:cs="Times New Roman"/>
                <w:szCs w:val="24"/>
              </w:rPr>
            </w:pPr>
          </w:p>
        </w:tc>
        <w:tc>
          <w:tcPr>
            <w:tcW w:w="541" w:type="pct"/>
            <w:noWrap w:val="0"/>
            <w:vAlign w:val="top"/>
          </w:tcPr>
          <w:p>
            <w:pPr>
              <w:spacing w:line="240" w:lineRule="auto"/>
              <w:jc w:val="both"/>
              <w:rPr>
                <w:rFonts w:ascii="Times New Roman" w:hAnsi="Times New Roman" w:cs="Times New Roman"/>
                <w:szCs w:val="24"/>
              </w:rPr>
            </w:pPr>
          </w:p>
        </w:tc>
        <w:tc>
          <w:tcPr>
            <w:tcW w:w="931" w:type="pc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□符合  □不符合</w:t>
            </w:r>
          </w:p>
        </w:tc>
        <w:tc>
          <w:tcPr>
            <w:tcW w:w="407" w:type="pct"/>
            <w:noWrap w:val="0"/>
            <w:vAlign w:val="center"/>
          </w:tcPr>
          <w:p>
            <w:pPr>
              <w:spacing w:line="240" w:lineRule="auto"/>
              <w:jc w:val="both"/>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5" w:type="pc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8.2.1</w:t>
            </w:r>
          </w:p>
        </w:tc>
        <w:tc>
          <w:tcPr>
            <w:tcW w:w="940" w:type="pct"/>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环境噪声</w:t>
            </w:r>
          </w:p>
        </w:tc>
        <w:tc>
          <w:tcPr>
            <w:tcW w:w="1188" w:type="pct"/>
            <w:noWrap w:val="0"/>
            <w:vAlign w:val="center"/>
          </w:tcPr>
          <w:p>
            <w:pPr>
              <w:spacing w:line="240" w:lineRule="auto"/>
              <w:jc w:val="both"/>
              <w:rPr>
                <w:rFonts w:ascii="Times New Roman" w:hAnsi="Times New Roman" w:cs="Times New Roman"/>
                <w:szCs w:val="21"/>
              </w:rPr>
            </w:pPr>
            <w:r>
              <w:rPr>
                <w:rFonts w:ascii="Times New Roman" w:hAnsi="Times New Roman" w:cs="Times New Roman"/>
                <w:szCs w:val="21"/>
              </w:rPr>
              <w:t>场地环境噪声</w:t>
            </w:r>
          </w:p>
        </w:tc>
        <w:tc>
          <w:tcPr>
            <w:tcW w:w="655" w:type="pct"/>
            <w:noWrap w:val="0"/>
            <w:vAlign w:val="center"/>
          </w:tcPr>
          <w:p>
            <w:pPr>
              <w:spacing w:line="240" w:lineRule="auto"/>
              <w:jc w:val="both"/>
              <w:rPr>
                <w:rFonts w:ascii="Times New Roman" w:hAnsi="Times New Roman" w:cs="Times New Roman"/>
                <w:szCs w:val="21"/>
              </w:rPr>
            </w:pPr>
          </w:p>
        </w:tc>
        <w:tc>
          <w:tcPr>
            <w:tcW w:w="541" w:type="pct"/>
            <w:noWrap w:val="0"/>
            <w:vAlign w:val="top"/>
          </w:tcPr>
          <w:p>
            <w:pPr>
              <w:spacing w:line="240" w:lineRule="auto"/>
              <w:jc w:val="both"/>
              <w:rPr>
                <w:rFonts w:ascii="Times New Roman" w:hAnsi="Times New Roman" w:cs="Times New Roman"/>
                <w:szCs w:val="21"/>
              </w:rPr>
            </w:pPr>
          </w:p>
        </w:tc>
        <w:tc>
          <w:tcPr>
            <w:tcW w:w="931" w:type="pct"/>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4"/>
              </w:rPr>
              <w:t>□符合  □不符合</w:t>
            </w:r>
          </w:p>
        </w:tc>
        <w:tc>
          <w:tcPr>
            <w:tcW w:w="407" w:type="pct"/>
            <w:noWrap w:val="0"/>
            <w:vAlign w:val="center"/>
          </w:tcPr>
          <w:p>
            <w:pPr>
              <w:spacing w:line="240" w:lineRule="auto"/>
              <w:jc w:val="both"/>
              <w:rPr>
                <w:rFonts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5" w:type="pc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8.2.2</w:t>
            </w:r>
          </w:p>
        </w:tc>
        <w:tc>
          <w:tcPr>
            <w:tcW w:w="940" w:type="pct"/>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可见光反射比</w:t>
            </w:r>
          </w:p>
        </w:tc>
        <w:tc>
          <w:tcPr>
            <w:tcW w:w="1188" w:type="pct"/>
            <w:noWrap w:val="0"/>
            <w:vAlign w:val="center"/>
          </w:tcPr>
          <w:p>
            <w:pPr>
              <w:spacing w:line="240" w:lineRule="auto"/>
              <w:jc w:val="both"/>
              <w:rPr>
                <w:rFonts w:ascii="Times New Roman" w:hAnsi="Times New Roman" w:cs="Times New Roman"/>
                <w:szCs w:val="21"/>
              </w:rPr>
            </w:pPr>
            <w:r>
              <w:rPr>
                <w:rFonts w:ascii="Times New Roman" w:hAnsi="Times New Roman" w:cs="Times New Roman"/>
                <w:szCs w:val="21"/>
              </w:rPr>
              <w:t>幕墙可见光反射比</w:t>
            </w:r>
          </w:p>
        </w:tc>
        <w:tc>
          <w:tcPr>
            <w:tcW w:w="655" w:type="pct"/>
            <w:noWrap w:val="0"/>
            <w:vAlign w:val="center"/>
          </w:tcPr>
          <w:p>
            <w:pPr>
              <w:spacing w:line="240" w:lineRule="auto"/>
              <w:jc w:val="both"/>
              <w:rPr>
                <w:rFonts w:ascii="Times New Roman" w:hAnsi="Times New Roman" w:cs="Times New Roman"/>
                <w:szCs w:val="21"/>
              </w:rPr>
            </w:pPr>
          </w:p>
        </w:tc>
        <w:tc>
          <w:tcPr>
            <w:tcW w:w="541" w:type="pct"/>
            <w:noWrap w:val="0"/>
            <w:vAlign w:val="top"/>
          </w:tcPr>
          <w:p>
            <w:pPr>
              <w:spacing w:line="240" w:lineRule="auto"/>
              <w:jc w:val="both"/>
              <w:rPr>
                <w:rFonts w:ascii="Times New Roman" w:hAnsi="Times New Roman" w:cs="Times New Roman"/>
                <w:szCs w:val="21"/>
              </w:rPr>
            </w:pPr>
          </w:p>
        </w:tc>
        <w:tc>
          <w:tcPr>
            <w:tcW w:w="931" w:type="pc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□符合  □不符合</w:t>
            </w:r>
          </w:p>
        </w:tc>
        <w:tc>
          <w:tcPr>
            <w:tcW w:w="407" w:type="pct"/>
            <w:noWrap w:val="0"/>
            <w:vAlign w:val="center"/>
          </w:tcPr>
          <w:p>
            <w:pPr>
              <w:spacing w:line="240" w:lineRule="auto"/>
              <w:jc w:val="both"/>
              <w:rPr>
                <w:rFonts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5" w:type="pc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8.2.3</w:t>
            </w:r>
          </w:p>
        </w:tc>
        <w:tc>
          <w:tcPr>
            <w:tcW w:w="940" w:type="pct"/>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照明照度值</w:t>
            </w:r>
          </w:p>
        </w:tc>
        <w:tc>
          <w:tcPr>
            <w:tcW w:w="1188" w:type="pct"/>
            <w:noWrap w:val="0"/>
            <w:vAlign w:val="center"/>
          </w:tcPr>
          <w:p>
            <w:pPr>
              <w:spacing w:line="240" w:lineRule="auto"/>
              <w:jc w:val="both"/>
              <w:rPr>
                <w:rFonts w:ascii="Times New Roman" w:hAnsi="Times New Roman" w:cs="Times New Roman"/>
                <w:szCs w:val="21"/>
              </w:rPr>
            </w:pPr>
            <w:r>
              <w:rPr>
                <w:rFonts w:ascii="Times New Roman" w:hAnsi="Times New Roman" w:cs="Times New Roman"/>
                <w:szCs w:val="21"/>
              </w:rPr>
              <w:t>居住空间窗户外表面的垂直照度值</w:t>
            </w:r>
          </w:p>
        </w:tc>
        <w:tc>
          <w:tcPr>
            <w:tcW w:w="655" w:type="pct"/>
            <w:noWrap w:val="0"/>
            <w:vAlign w:val="center"/>
          </w:tcPr>
          <w:p>
            <w:pPr>
              <w:spacing w:line="240" w:lineRule="auto"/>
              <w:jc w:val="both"/>
              <w:rPr>
                <w:rFonts w:ascii="Times New Roman" w:hAnsi="Times New Roman" w:cs="Times New Roman"/>
                <w:szCs w:val="21"/>
              </w:rPr>
            </w:pPr>
          </w:p>
        </w:tc>
        <w:tc>
          <w:tcPr>
            <w:tcW w:w="541" w:type="pct"/>
            <w:noWrap w:val="0"/>
            <w:vAlign w:val="top"/>
          </w:tcPr>
          <w:p>
            <w:pPr>
              <w:spacing w:line="240" w:lineRule="auto"/>
              <w:jc w:val="both"/>
              <w:rPr>
                <w:rFonts w:ascii="Times New Roman" w:hAnsi="Times New Roman" w:cs="Times New Roman"/>
                <w:szCs w:val="21"/>
              </w:rPr>
            </w:pPr>
          </w:p>
        </w:tc>
        <w:tc>
          <w:tcPr>
            <w:tcW w:w="931" w:type="pc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□符合  □不符合</w:t>
            </w:r>
          </w:p>
        </w:tc>
        <w:tc>
          <w:tcPr>
            <w:tcW w:w="407" w:type="pct"/>
            <w:noWrap w:val="0"/>
            <w:vAlign w:val="center"/>
          </w:tcPr>
          <w:p>
            <w:pPr>
              <w:spacing w:line="240" w:lineRule="auto"/>
              <w:jc w:val="both"/>
              <w:rPr>
                <w:rFonts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5" w:type="pc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8.2.4</w:t>
            </w:r>
          </w:p>
        </w:tc>
        <w:tc>
          <w:tcPr>
            <w:tcW w:w="940" w:type="pct"/>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室外显示屏亮度</w:t>
            </w:r>
          </w:p>
        </w:tc>
        <w:tc>
          <w:tcPr>
            <w:tcW w:w="1188" w:type="pct"/>
            <w:noWrap w:val="0"/>
            <w:vAlign w:val="center"/>
          </w:tcPr>
          <w:p>
            <w:pPr>
              <w:widowControl/>
              <w:spacing w:line="240" w:lineRule="auto"/>
              <w:jc w:val="both"/>
              <w:rPr>
                <w:rFonts w:ascii="Times New Roman" w:hAnsi="Times New Roman" w:cs="Times New Roman"/>
                <w:kern w:val="0"/>
                <w:szCs w:val="21"/>
              </w:rPr>
            </w:pPr>
            <w:r>
              <w:rPr>
                <w:rFonts w:ascii="Times New Roman" w:hAnsi="Times New Roman" w:cs="Times New Roman"/>
                <w:kern w:val="0"/>
                <w:szCs w:val="21"/>
              </w:rPr>
              <w:t>室外显示屏亮度</w:t>
            </w:r>
          </w:p>
        </w:tc>
        <w:tc>
          <w:tcPr>
            <w:tcW w:w="655" w:type="pct"/>
            <w:noWrap w:val="0"/>
            <w:vAlign w:val="center"/>
          </w:tcPr>
          <w:p>
            <w:pPr>
              <w:spacing w:line="240" w:lineRule="auto"/>
              <w:jc w:val="both"/>
              <w:rPr>
                <w:rFonts w:ascii="Times New Roman" w:hAnsi="Times New Roman" w:cs="Times New Roman"/>
                <w:szCs w:val="21"/>
              </w:rPr>
            </w:pPr>
          </w:p>
        </w:tc>
        <w:tc>
          <w:tcPr>
            <w:tcW w:w="541" w:type="pct"/>
            <w:noWrap w:val="0"/>
            <w:vAlign w:val="top"/>
          </w:tcPr>
          <w:p>
            <w:pPr>
              <w:spacing w:line="240" w:lineRule="auto"/>
              <w:jc w:val="both"/>
              <w:rPr>
                <w:rFonts w:ascii="Times New Roman" w:hAnsi="Times New Roman" w:cs="Times New Roman"/>
                <w:szCs w:val="21"/>
              </w:rPr>
            </w:pPr>
          </w:p>
        </w:tc>
        <w:tc>
          <w:tcPr>
            <w:tcW w:w="931" w:type="pc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□符合  □不符合</w:t>
            </w:r>
          </w:p>
        </w:tc>
        <w:tc>
          <w:tcPr>
            <w:tcW w:w="407" w:type="pct"/>
            <w:noWrap w:val="0"/>
            <w:vAlign w:val="center"/>
          </w:tcPr>
          <w:p>
            <w:pPr>
              <w:spacing w:line="240" w:lineRule="auto"/>
              <w:jc w:val="both"/>
              <w:rPr>
                <w:rFonts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335" w:type="pct"/>
            <w:vMerge w:val="restar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8.2.5</w:t>
            </w:r>
          </w:p>
        </w:tc>
        <w:tc>
          <w:tcPr>
            <w:tcW w:w="940" w:type="pct"/>
            <w:vMerge w:val="restart"/>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热岛强度降低措施</w:t>
            </w:r>
          </w:p>
        </w:tc>
        <w:tc>
          <w:tcPr>
            <w:tcW w:w="1188" w:type="pct"/>
            <w:noWrap w:val="0"/>
            <w:vAlign w:val="center"/>
          </w:tcPr>
          <w:p>
            <w:pPr>
              <w:spacing w:line="240" w:lineRule="auto"/>
              <w:jc w:val="both"/>
              <w:rPr>
                <w:rFonts w:ascii="Times New Roman" w:hAnsi="Times New Roman" w:cs="Times New Roman"/>
                <w:kern w:val="0"/>
                <w:szCs w:val="21"/>
              </w:rPr>
            </w:pPr>
            <w:r>
              <w:rPr>
                <w:rFonts w:ascii="Times New Roman" w:hAnsi="Times New Roman" w:cs="Times New Roman"/>
                <w:szCs w:val="21"/>
                <w:lang w:bidi="ar"/>
              </w:rPr>
              <w:t>乔木投影盖度占绿地面积的比例</w:t>
            </w:r>
          </w:p>
        </w:tc>
        <w:tc>
          <w:tcPr>
            <w:tcW w:w="655" w:type="pct"/>
            <w:noWrap w:val="0"/>
            <w:vAlign w:val="center"/>
          </w:tcPr>
          <w:p>
            <w:pPr>
              <w:spacing w:line="240" w:lineRule="auto"/>
              <w:jc w:val="both"/>
              <w:rPr>
                <w:rFonts w:ascii="Times New Roman" w:hAnsi="Times New Roman" w:cs="Times New Roman"/>
                <w:szCs w:val="21"/>
              </w:rPr>
            </w:pPr>
          </w:p>
        </w:tc>
        <w:tc>
          <w:tcPr>
            <w:tcW w:w="541" w:type="pct"/>
            <w:noWrap w:val="0"/>
            <w:vAlign w:val="top"/>
          </w:tcPr>
          <w:p>
            <w:pPr>
              <w:spacing w:line="240" w:lineRule="auto"/>
              <w:jc w:val="both"/>
              <w:rPr>
                <w:rFonts w:ascii="Times New Roman" w:hAnsi="Times New Roman" w:cs="Times New Roman"/>
                <w:szCs w:val="21"/>
              </w:rPr>
            </w:pPr>
          </w:p>
        </w:tc>
        <w:tc>
          <w:tcPr>
            <w:tcW w:w="931" w:type="pc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□符合  □不符合</w:t>
            </w:r>
          </w:p>
        </w:tc>
        <w:tc>
          <w:tcPr>
            <w:tcW w:w="407" w:type="pct"/>
            <w:noWrap w:val="0"/>
            <w:vAlign w:val="center"/>
          </w:tcPr>
          <w:p>
            <w:pPr>
              <w:spacing w:line="240" w:lineRule="auto"/>
              <w:jc w:val="both"/>
              <w:rPr>
                <w:rFonts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335" w:type="pct"/>
            <w:vMerge w:val="continue"/>
            <w:noWrap w:val="0"/>
            <w:vAlign w:val="center"/>
          </w:tcPr>
          <w:p>
            <w:pPr>
              <w:spacing w:line="240" w:lineRule="auto"/>
              <w:jc w:val="center"/>
              <w:rPr>
                <w:rFonts w:ascii="Times New Roman" w:hAnsi="Times New Roman" w:cs="Times New Roman"/>
                <w:szCs w:val="24"/>
              </w:rPr>
            </w:pPr>
          </w:p>
        </w:tc>
        <w:tc>
          <w:tcPr>
            <w:tcW w:w="940" w:type="pct"/>
            <w:vMerge w:val="continue"/>
            <w:noWrap w:val="0"/>
            <w:vAlign w:val="center"/>
          </w:tcPr>
          <w:p>
            <w:pPr>
              <w:spacing w:line="240" w:lineRule="auto"/>
              <w:jc w:val="center"/>
              <w:rPr>
                <w:rFonts w:ascii="Times New Roman" w:hAnsi="Times New Roman" w:cs="Times New Roman"/>
                <w:szCs w:val="21"/>
              </w:rPr>
            </w:pPr>
          </w:p>
        </w:tc>
        <w:tc>
          <w:tcPr>
            <w:tcW w:w="1188" w:type="pct"/>
            <w:noWrap w:val="0"/>
            <w:vAlign w:val="center"/>
          </w:tcPr>
          <w:p>
            <w:pPr>
              <w:spacing w:line="240" w:lineRule="auto"/>
              <w:jc w:val="both"/>
              <w:rPr>
                <w:rFonts w:ascii="Times New Roman" w:hAnsi="Times New Roman" w:cs="Times New Roman"/>
                <w:kern w:val="0"/>
                <w:szCs w:val="21"/>
              </w:rPr>
            </w:pPr>
            <w:r>
              <w:rPr>
                <w:rFonts w:ascii="Times New Roman" w:hAnsi="Times New Roman" w:cs="Times New Roman"/>
                <w:szCs w:val="21"/>
                <w:lang w:bidi="ar"/>
              </w:rPr>
              <w:t>室外活动场地中遮阴面积之和占室外活动场地面积的比例</w:t>
            </w:r>
          </w:p>
        </w:tc>
        <w:tc>
          <w:tcPr>
            <w:tcW w:w="655" w:type="pct"/>
            <w:noWrap w:val="0"/>
            <w:vAlign w:val="center"/>
          </w:tcPr>
          <w:p>
            <w:pPr>
              <w:spacing w:line="240" w:lineRule="auto"/>
              <w:jc w:val="both"/>
              <w:rPr>
                <w:rFonts w:ascii="Times New Roman" w:hAnsi="Times New Roman" w:cs="Times New Roman"/>
                <w:szCs w:val="21"/>
              </w:rPr>
            </w:pPr>
          </w:p>
        </w:tc>
        <w:tc>
          <w:tcPr>
            <w:tcW w:w="541" w:type="pct"/>
            <w:noWrap w:val="0"/>
            <w:vAlign w:val="top"/>
          </w:tcPr>
          <w:p>
            <w:pPr>
              <w:spacing w:line="240" w:lineRule="auto"/>
              <w:jc w:val="both"/>
              <w:rPr>
                <w:rFonts w:ascii="Times New Roman" w:hAnsi="Times New Roman" w:cs="Times New Roman"/>
                <w:szCs w:val="21"/>
              </w:rPr>
            </w:pPr>
          </w:p>
        </w:tc>
        <w:tc>
          <w:tcPr>
            <w:tcW w:w="931" w:type="pct"/>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4"/>
              </w:rPr>
              <w:t>□符合  □不符合</w:t>
            </w:r>
          </w:p>
        </w:tc>
        <w:tc>
          <w:tcPr>
            <w:tcW w:w="407" w:type="pct"/>
            <w:noWrap w:val="0"/>
            <w:vAlign w:val="center"/>
          </w:tcPr>
          <w:p>
            <w:pPr>
              <w:spacing w:line="240" w:lineRule="auto"/>
              <w:jc w:val="both"/>
              <w:rPr>
                <w:rFonts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335" w:type="pct"/>
            <w:vMerge w:val="continue"/>
            <w:noWrap w:val="0"/>
            <w:vAlign w:val="center"/>
          </w:tcPr>
          <w:p>
            <w:pPr>
              <w:spacing w:line="240" w:lineRule="auto"/>
              <w:jc w:val="center"/>
              <w:rPr>
                <w:rFonts w:ascii="Times New Roman" w:hAnsi="Times New Roman" w:cs="Times New Roman"/>
                <w:szCs w:val="24"/>
              </w:rPr>
            </w:pPr>
          </w:p>
        </w:tc>
        <w:tc>
          <w:tcPr>
            <w:tcW w:w="940" w:type="pct"/>
            <w:vMerge w:val="continue"/>
            <w:noWrap w:val="0"/>
            <w:vAlign w:val="center"/>
          </w:tcPr>
          <w:p>
            <w:pPr>
              <w:spacing w:line="240" w:lineRule="auto"/>
              <w:jc w:val="center"/>
              <w:rPr>
                <w:rFonts w:ascii="Times New Roman" w:hAnsi="Times New Roman" w:cs="Times New Roman"/>
                <w:szCs w:val="21"/>
              </w:rPr>
            </w:pPr>
          </w:p>
        </w:tc>
        <w:tc>
          <w:tcPr>
            <w:tcW w:w="1188" w:type="pct"/>
            <w:noWrap w:val="0"/>
            <w:vAlign w:val="center"/>
          </w:tcPr>
          <w:p>
            <w:pPr>
              <w:spacing w:line="240" w:lineRule="auto"/>
              <w:jc w:val="both"/>
              <w:rPr>
                <w:rFonts w:ascii="Times New Roman" w:hAnsi="Times New Roman" w:cs="Times New Roman"/>
                <w:kern w:val="0"/>
                <w:szCs w:val="21"/>
              </w:rPr>
            </w:pPr>
            <w:r>
              <w:rPr>
                <w:rFonts w:ascii="Times New Roman" w:hAnsi="Times New Roman" w:cs="Times New Roman"/>
                <w:szCs w:val="21"/>
                <w:lang w:bidi="ar"/>
              </w:rPr>
              <w:t>处于建筑阴影区外的机动车道，太阳辐射反射系数不小于0.4或设有行道树的路段长度占比</w:t>
            </w:r>
          </w:p>
        </w:tc>
        <w:tc>
          <w:tcPr>
            <w:tcW w:w="655" w:type="pct"/>
            <w:noWrap w:val="0"/>
            <w:vAlign w:val="center"/>
          </w:tcPr>
          <w:p>
            <w:pPr>
              <w:spacing w:line="240" w:lineRule="auto"/>
              <w:jc w:val="both"/>
              <w:rPr>
                <w:rFonts w:ascii="Times New Roman" w:hAnsi="Times New Roman" w:cs="Times New Roman"/>
                <w:szCs w:val="21"/>
              </w:rPr>
            </w:pPr>
          </w:p>
        </w:tc>
        <w:tc>
          <w:tcPr>
            <w:tcW w:w="541" w:type="pct"/>
            <w:noWrap w:val="0"/>
            <w:vAlign w:val="top"/>
          </w:tcPr>
          <w:p>
            <w:pPr>
              <w:spacing w:line="240" w:lineRule="auto"/>
              <w:jc w:val="both"/>
              <w:rPr>
                <w:rFonts w:ascii="Times New Roman" w:hAnsi="Times New Roman" w:cs="Times New Roman"/>
                <w:szCs w:val="21"/>
              </w:rPr>
            </w:pPr>
          </w:p>
        </w:tc>
        <w:tc>
          <w:tcPr>
            <w:tcW w:w="931" w:type="pc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□符合  □不符合</w:t>
            </w:r>
          </w:p>
        </w:tc>
        <w:tc>
          <w:tcPr>
            <w:tcW w:w="407" w:type="pct"/>
            <w:noWrap w:val="0"/>
            <w:vAlign w:val="center"/>
          </w:tcPr>
          <w:p>
            <w:pPr>
              <w:spacing w:line="240" w:lineRule="auto"/>
              <w:jc w:val="both"/>
              <w:rPr>
                <w:rFonts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335" w:type="pct"/>
            <w:vMerge w:val="continue"/>
            <w:noWrap w:val="0"/>
            <w:vAlign w:val="center"/>
          </w:tcPr>
          <w:p>
            <w:pPr>
              <w:spacing w:line="240" w:lineRule="auto"/>
              <w:jc w:val="center"/>
              <w:rPr>
                <w:rFonts w:ascii="Times New Roman" w:hAnsi="Times New Roman" w:cs="Times New Roman"/>
                <w:szCs w:val="24"/>
              </w:rPr>
            </w:pPr>
          </w:p>
        </w:tc>
        <w:tc>
          <w:tcPr>
            <w:tcW w:w="940" w:type="pct"/>
            <w:vMerge w:val="continue"/>
            <w:noWrap w:val="0"/>
            <w:vAlign w:val="center"/>
          </w:tcPr>
          <w:p>
            <w:pPr>
              <w:spacing w:line="240" w:lineRule="auto"/>
              <w:jc w:val="center"/>
              <w:rPr>
                <w:rFonts w:ascii="Times New Roman" w:hAnsi="Times New Roman" w:cs="Times New Roman"/>
                <w:szCs w:val="21"/>
              </w:rPr>
            </w:pPr>
          </w:p>
        </w:tc>
        <w:tc>
          <w:tcPr>
            <w:tcW w:w="1188" w:type="pct"/>
            <w:noWrap w:val="0"/>
            <w:vAlign w:val="center"/>
          </w:tcPr>
          <w:p>
            <w:pPr>
              <w:spacing w:line="240" w:lineRule="auto"/>
              <w:jc w:val="both"/>
              <w:rPr>
                <w:rFonts w:ascii="Times New Roman" w:hAnsi="Times New Roman" w:cs="Times New Roman"/>
                <w:kern w:val="0"/>
                <w:szCs w:val="21"/>
              </w:rPr>
            </w:pPr>
            <w:r>
              <w:rPr>
                <w:rFonts w:ascii="Times New Roman" w:hAnsi="Times New Roman" w:cs="Times New Roman"/>
                <w:szCs w:val="21"/>
                <w:lang w:bidi="ar"/>
              </w:rPr>
              <w:t>除绿化屋面和表面设有太阳能板的建筑屋面外，太阳辐射反射系数不小于0.4的建筑屋面之和占比</w:t>
            </w:r>
          </w:p>
        </w:tc>
        <w:tc>
          <w:tcPr>
            <w:tcW w:w="655" w:type="pct"/>
            <w:noWrap w:val="0"/>
            <w:vAlign w:val="center"/>
          </w:tcPr>
          <w:p>
            <w:pPr>
              <w:spacing w:line="240" w:lineRule="auto"/>
              <w:jc w:val="both"/>
              <w:rPr>
                <w:rFonts w:ascii="Times New Roman" w:hAnsi="Times New Roman" w:cs="Times New Roman"/>
                <w:szCs w:val="21"/>
              </w:rPr>
            </w:pPr>
          </w:p>
        </w:tc>
        <w:tc>
          <w:tcPr>
            <w:tcW w:w="541" w:type="pct"/>
            <w:noWrap w:val="0"/>
            <w:vAlign w:val="top"/>
          </w:tcPr>
          <w:p>
            <w:pPr>
              <w:spacing w:line="240" w:lineRule="auto"/>
              <w:jc w:val="both"/>
              <w:rPr>
                <w:rFonts w:ascii="Times New Roman" w:hAnsi="Times New Roman" w:cs="Times New Roman"/>
                <w:szCs w:val="21"/>
              </w:rPr>
            </w:pPr>
          </w:p>
        </w:tc>
        <w:tc>
          <w:tcPr>
            <w:tcW w:w="931" w:type="pc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□符合  □不符合</w:t>
            </w:r>
          </w:p>
        </w:tc>
        <w:tc>
          <w:tcPr>
            <w:tcW w:w="407" w:type="pct"/>
            <w:noWrap w:val="0"/>
            <w:vAlign w:val="center"/>
          </w:tcPr>
          <w:p>
            <w:pPr>
              <w:spacing w:line="240" w:lineRule="auto"/>
              <w:jc w:val="both"/>
              <w:rPr>
                <w:rFonts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335" w:type="pct"/>
            <w:vMerge w:val="continue"/>
            <w:noWrap w:val="0"/>
            <w:vAlign w:val="center"/>
          </w:tcPr>
          <w:p>
            <w:pPr>
              <w:spacing w:line="240" w:lineRule="auto"/>
              <w:jc w:val="center"/>
              <w:rPr>
                <w:rFonts w:ascii="Times New Roman" w:hAnsi="Times New Roman" w:cs="Times New Roman"/>
                <w:szCs w:val="24"/>
              </w:rPr>
            </w:pPr>
          </w:p>
        </w:tc>
        <w:tc>
          <w:tcPr>
            <w:tcW w:w="940" w:type="pct"/>
            <w:vMerge w:val="continue"/>
            <w:noWrap w:val="0"/>
            <w:vAlign w:val="center"/>
          </w:tcPr>
          <w:p>
            <w:pPr>
              <w:spacing w:line="240" w:lineRule="auto"/>
              <w:jc w:val="center"/>
              <w:rPr>
                <w:rFonts w:ascii="Times New Roman" w:hAnsi="Times New Roman" w:cs="Times New Roman"/>
                <w:szCs w:val="21"/>
              </w:rPr>
            </w:pPr>
          </w:p>
        </w:tc>
        <w:tc>
          <w:tcPr>
            <w:tcW w:w="1188" w:type="pct"/>
            <w:noWrap w:val="0"/>
            <w:vAlign w:val="center"/>
          </w:tcPr>
          <w:p>
            <w:pPr>
              <w:spacing w:line="240" w:lineRule="auto"/>
              <w:jc w:val="both"/>
              <w:rPr>
                <w:rFonts w:ascii="Times New Roman" w:hAnsi="Times New Roman" w:cs="Times New Roman"/>
                <w:kern w:val="0"/>
                <w:szCs w:val="21"/>
              </w:rPr>
            </w:pPr>
            <w:r>
              <w:rPr>
                <w:rFonts w:ascii="Times New Roman" w:hAnsi="Times New Roman" w:cs="Times New Roman"/>
                <w:szCs w:val="21"/>
                <w:lang w:bidi="ar"/>
              </w:rPr>
              <w:t>设有乔木、遮阳棚等遮阴措施的地面机动车停车位占比</w:t>
            </w:r>
          </w:p>
        </w:tc>
        <w:tc>
          <w:tcPr>
            <w:tcW w:w="655" w:type="pct"/>
            <w:noWrap w:val="0"/>
            <w:vAlign w:val="center"/>
          </w:tcPr>
          <w:p>
            <w:pPr>
              <w:spacing w:line="240" w:lineRule="auto"/>
              <w:jc w:val="both"/>
              <w:rPr>
                <w:rFonts w:ascii="Times New Roman" w:hAnsi="Times New Roman" w:cs="Times New Roman"/>
                <w:szCs w:val="21"/>
              </w:rPr>
            </w:pPr>
          </w:p>
        </w:tc>
        <w:tc>
          <w:tcPr>
            <w:tcW w:w="541" w:type="pct"/>
            <w:noWrap w:val="0"/>
            <w:vAlign w:val="top"/>
          </w:tcPr>
          <w:p>
            <w:pPr>
              <w:spacing w:line="240" w:lineRule="auto"/>
              <w:jc w:val="both"/>
              <w:rPr>
                <w:rFonts w:ascii="Times New Roman" w:hAnsi="Times New Roman" w:cs="Times New Roman"/>
                <w:szCs w:val="21"/>
              </w:rPr>
            </w:pPr>
          </w:p>
        </w:tc>
        <w:tc>
          <w:tcPr>
            <w:tcW w:w="931" w:type="pct"/>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4"/>
              </w:rPr>
              <w:t>□符合  □不符合</w:t>
            </w:r>
          </w:p>
        </w:tc>
        <w:tc>
          <w:tcPr>
            <w:tcW w:w="407" w:type="pct"/>
            <w:noWrap w:val="0"/>
            <w:vAlign w:val="center"/>
          </w:tcPr>
          <w:p>
            <w:pPr>
              <w:spacing w:line="240" w:lineRule="auto"/>
              <w:jc w:val="both"/>
              <w:rPr>
                <w:rFonts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335" w:type="pc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8.3.1</w:t>
            </w:r>
          </w:p>
        </w:tc>
        <w:tc>
          <w:tcPr>
            <w:tcW w:w="940" w:type="pct"/>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油烟排放细颗粒浓度</w:t>
            </w:r>
          </w:p>
        </w:tc>
        <w:tc>
          <w:tcPr>
            <w:tcW w:w="1188" w:type="pct"/>
            <w:noWrap w:val="0"/>
            <w:vAlign w:val="center"/>
          </w:tcPr>
          <w:p>
            <w:pPr>
              <w:widowControl/>
              <w:spacing w:line="240" w:lineRule="auto"/>
              <w:jc w:val="both"/>
              <w:rPr>
                <w:rFonts w:ascii="Times New Roman" w:hAnsi="Times New Roman" w:cs="Times New Roman"/>
                <w:kern w:val="0"/>
                <w:szCs w:val="21"/>
              </w:rPr>
            </w:pPr>
            <w:r>
              <w:rPr>
                <w:rFonts w:ascii="Times New Roman" w:hAnsi="Times New Roman" w:cs="Times New Roman"/>
                <w:kern w:val="0"/>
                <w:szCs w:val="21"/>
              </w:rPr>
              <w:t>油烟排放细颗粒浓度</w:t>
            </w:r>
          </w:p>
        </w:tc>
        <w:tc>
          <w:tcPr>
            <w:tcW w:w="655" w:type="pct"/>
            <w:noWrap w:val="0"/>
            <w:vAlign w:val="center"/>
          </w:tcPr>
          <w:p>
            <w:pPr>
              <w:spacing w:line="240" w:lineRule="auto"/>
              <w:jc w:val="both"/>
              <w:rPr>
                <w:rFonts w:ascii="Times New Roman" w:hAnsi="Times New Roman" w:cs="Times New Roman"/>
                <w:szCs w:val="21"/>
              </w:rPr>
            </w:pPr>
          </w:p>
        </w:tc>
        <w:tc>
          <w:tcPr>
            <w:tcW w:w="541" w:type="pct"/>
            <w:noWrap w:val="0"/>
            <w:vAlign w:val="top"/>
          </w:tcPr>
          <w:p>
            <w:pPr>
              <w:spacing w:line="240" w:lineRule="auto"/>
              <w:jc w:val="both"/>
              <w:rPr>
                <w:rFonts w:ascii="Times New Roman" w:hAnsi="Times New Roman" w:cs="Times New Roman"/>
                <w:szCs w:val="21"/>
              </w:rPr>
            </w:pPr>
          </w:p>
        </w:tc>
        <w:tc>
          <w:tcPr>
            <w:tcW w:w="931" w:type="pct"/>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4"/>
              </w:rPr>
              <w:t>□符合  □不符合</w:t>
            </w:r>
          </w:p>
        </w:tc>
        <w:tc>
          <w:tcPr>
            <w:tcW w:w="407" w:type="pct"/>
            <w:noWrap w:val="0"/>
            <w:vAlign w:val="center"/>
          </w:tcPr>
          <w:p>
            <w:pPr>
              <w:spacing w:line="240" w:lineRule="auto"/>
              <w:jc w:val="both"/>
              <w:rPr>
                <w:rFonts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0" w:hRule="atLeast"/>
        </w:trPr>
        <w:tc>
          <w:tcPr>
            <w:tcW w:w="335" w:type="pct"/>
            <w:vMerge w:val="restar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8.3.2</w:t>
            </w:r>
          </w:p>
        </w:tc>
        <w:tc>
          <w:tcPr>
            <w:tcW w:w="940" w:type="pct"/>
            <w:vMerge w:val="restart"/>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4"/>
                <w:lang w:bidi="ar"/>
              </w:rPr>
              <w:t>合成材料运动场地面层有害物质</w:t>
            </w:r>
          </w:p>
        </w:tc>
        <w:tc>
          <w:tcPr>
            <w:tcW w:w="1188" w:type="pct"/>
            <w:noWrap w:val="0"/>
            <w:vAlign w:val="center"/>
          </w:tcPr>
          <w:p>
            <w:pPr>
              <w:spacing w:line="240" w:lineRule="auto"/>
              <w:jc w:val="both"/>
              <w:rPr>
                <w:rFonts w:ascii="Times New Roman" w:hAnsi="Times New Roman" w:cs="Times New Roman"/>
                <w:kern w:val="0"/>
                <w:szCs w:val="21"/>
              </w:rPr>
            </w:pPr>
            <w:r>
              <w:rPr>
                <w:rFonts w:ascii="Times New Roman" w:hAnsi="Times New Roman" w:cs="Times New Roman"/>
                <w:szCs w:val="24"/>
                <w:lang w:bidi="ar"/>
              </w:rPr>
              <w:t>有害物质含量</w:t>
            </w:r>
          </w:p>
        </w:tc>
        <w:tc>
          <w:tcPr>
            <w:tcW w:w="655" w:type="pct"/>
            <w:noWrap w:val="0"/>
            <w:vAlign w:val="center"/>
          </w:tcPr>
          <w:p>
            <w:pPr>
              <w:spacing w:line="240" w:lineRule="auto"/>
              <w:jc w:val="both"/>
              <w:rPr>
                <w:rFonts w:ascii="Times New Roman" w:hAnsi="Times New Roman" w:cs="Times New Roman"/>
                <w:szCs w:val="21"/>
              </w:rPr>
            </w:pPr>
          </w:p>
        </w:tc>
        <w:tc>
          <w:tcPr>
            <w:tcW w:w="541" w:type="pct"/>
            <w:noWrap w:val="0"/>
            <w:vAlign w:val="top"/>
          </w:tcPr>
          <w:p>
            <w:pPr>
              <w:spacing w:line="240" w:lineRule="auto"/>
              <w:jc w:val="both"/>
              <w:rPr>
                <w:rFonts w:ascii="Times New Roman" w:hAnsi="Times New Roman" w:cs="Times New Roman"/>
                <w:szCs w:val="21"/>
              </w:rPr>
            </w:pPr>
          </w:p>
        </w:tc>
        <w:tc>
          <w:tcPr>
            <w:tcW w:w="931" w:type="pct"/>
            <w:noWrap w:val="0"/>
            <w:vAlign w:val="top"/>
          </w:tcPr>
          <w:p>
            <w:pPr>
              <w:spacing w:line="240" w:lineRule="auto"/>
              <w:jc w:val="both"/>
              <w:rPr>
                <w:rFonts w:ascii="Times New Roman" w:hAnsi="Times New Roman" w:cs="Times New Roman"/>
                <w:szCs w:val="21"/>
              </w:rPr>
            </w:pPr>
            <w:r>
              <w:rPr>
                <w:rFonts w:ascii="Times New Roman" w:hAnsi="Times New Roman" w:cs="Times New Roman"/>
                <w:szCs w:val="24"/>
                <w:lang w:bidi="ar"/>
              </w:rPr>
              <w:t>□符合  □不符合</w:t>
            </w:r>
          </w:p>
        </w:tc>
        <w:tc>
          <w:tcPr>
            <w:tcW w:w="407" w:type="pct"/>
            <w:noWrap w:val="0"/>
            <w:vAlign w:val="center"/>
          </w:tcPr>
          <w:p>
            <w:pPr>
              <w:spacing w:line="240" w:lineRule="auto"/>
              <w:jc w:val="both"/>
              <w:rPr>
                <w:rFonts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3" w:hRule="atLeast"/>
        </w:trPr>
        <w:tc>
          <w:tcPr>
            <w:tcW w:w="335" w:type="pct"/>
            <w:vMerge w:val="continue"/>
            <w:noWrap w:val="0"/>
            <w:vAlign w:val="center"/>
          </w:tcPr>
          <w:p>
            <w:pPr>
              <w:spacing w:line="240" w:lineRule="auto"/>
              <w:jc w:val="center"/>
              <w:rPr>
                <w:rFonts w:ascii="Times New Roman" w:hAnsi="Times New Roman" w:cs="Times New Roman"/>
                <w:szCs w:val="24"/>
              </w:rPr>
            </w:pPr>
          </w:p>
        </w:tc>
        <w:tc>
          <w:tcPr>
            <w:tcW w:w="940" w:type="pct"/>
            <w:vMerge w:val="continue"/>
            <w:noWrap w:val="0"/>
            <w:vAlign w:val="center"/>
          </w:tcPr>
          <w:p>
            <w:pPr>
              <w:spacing w:line="240" w:lineRule="auto"/>
              <w:jc w:val="both"/>
              <w:rPr>
                <w:rFonts w:ascii="Times New Roman" w:hAnsi="Times New Roman" w:cs="Times New Roman"/>
                <w:szCs w:val="21"/>
              </w:rPr>
            </w:pPr>
          </w:p>
        </w:tc>
        <w:tc>
          <w:tcPr>
            <w:tcW w:w="1188" w:type="pct"/>
            <w:noWrap w:val="0"/>
            <w:vAlign w:val="center"/>
          </w:tcPr>
          <w:p>
            <w:pPr>
              <w:spacing w:line="240" w:lineRule="auto"/>
              <w:jc w:val="both"/>
              <w:rPr>
                <w:rFonts w:ascii="Times New Roman" w:hAnsi="Times New Roman" w:cs="Times New Roman"/>
                <w:kern w:val="0"/>
                <w:szCs w:val="21"/>
              </w:rPr>
            </w:pPr>
            <w:r>
              <w:rPr>
                <w:rFonts w:ascii="Times New Roman" w:hAnsi="Times New Roman" w:cs="Times New Roman"/>
                <w:szCs w:val="24"/>
                <w:lang w:bidi="ar"/>
              </w:rPr>
              <w:t>空气气味等级</w:t>
            </w:r>
          </w:p>
        </w:tc>
        <w:tc>
          <w:tcPr>
            <w:tcW w:w="655" w:type="pct"/>
            <w:noWrap w:val="0"/>
            <w:vAlign w:val="center"/>
          </w:tcPr>
          <w:p>
            <w:pPr>
              <w:spacing w:line="240" w:lineRule="auto"/>
              <w:jc w:val="both"/>
              <w:rPr>
                <w:rFonts w:ascii="Times New Roman" w:hAnsi="Times New Roman" w:cs="Times New Roman"/>
                <w:szCs w:val="21"/>
              </w:rPr>
            </w:pPr>
          </w:p>
        </w:tc>
        <w:tc>
          <w:tcPr>
            <w:tcW w:w="541" w:type="pct"/>
            <w:noWrap w:val="0"/>
            <w:vAlign w:val="top"/>
          </w:tcPr>
          <w:p>
            <w:pPr>
              <w:spacing w:line="240" w:lineRule="auto"/>
              <w:jc w:val="both"/>
              <w:rPr>
                <w:rFonts w:ascii="Times New Roman" w:hAnsi="Times New Roman" w:cs="Times New Roman"/>
                <w:szCs w:val="21"/>
              </w:rPr>
            </w:pPr>
          </w:p>
        </w:tc>
        <w:tc>
          <w:tcPr>
            <w:tcW w:w="931" w:type="pct"/>
            <w:noWrap w:val="0"/>
            <w:vAlign w:val="top"/>
          </w:tcPr>
          <w:p>
            <w:pPr>
              <w:spacing w:line="240" w:lineRule="auto"/>
              <w:jc w:val="both"/>
              <w:rPr>
                <w:rFonts w:ascii="Times New Roman" w:hAnsi="Times New Roman" w:cs="Times New Roman"/>
                <w:szCs w:val="21"/>
              </w:rPr>
            </w:pPr>
            <w:r>
              <w:rPr>
                <w:rFonts w:ascii="Times New Roman" w:hAnsi="Times New Roman" w:cs="Times New Roman"/>
                <w:szCs w:val="24"/>
                <w:lang w:bidi="ar"/>
              </w:rPr>
              <w:t>□符合  □不符合</w:t>
            </w:r>
          </w:p>
        </w:tc>
        <w:tc>
          <w:tcPr>
            <w:tcW w:w="407" w:type="pct"/>
            <w:noWrap w:val="0"/>
            <w:vAlign w:val="center"/>
          </w:tcPr>
          <w:p>
            <w:pPr>
              <w:spacing w:line="240" w:lineRule="auto"/>
              <w:jc w:val="both"/>
              <w:rPr>
                <w:rFonts w:ascii="Times New Roman" w:hAnsi="Times New Roman" w:cs="Times New Roman"/>
                <w:szCs w:val="21"/>
              </w:rPr>
            </w:pPr>
          </w:p>
        </w:tc>
      </w:tr>
    </w:tbl>
    <w:p>
      <w:pPr>
        <w:spacing w:line="240" w:lineRule="auto"/>
        <w:jc w:val="right"/>
        <w:rPr>
          <w:rFonts w:ascii="Times New Roman" w:hAnsi="Times New Roman" w:eastAsia="黑体" w:cs="Times New Roman"/>
          <w:szCs w:val="24"/>
          <w:lang w:val="zh-CN"/>
        </w:rPr>
      </w:pPr>
    </w:p>
    <w:p>
      <w:pPr>
        <w:spacing w:line="240" w:lineRule="auto"/>
        <w:jc w:val="right"/>
        <w:rPr>
          <w:rFonts w:ascii="Times New Roman" w:hAnsi="Times New Roman" w:eastAsia="黑体" w:cs="Times New Roman"/>
          <w:szCs w:val="24"/>
          <w:lang w:val="zh-CN"/>
        </w:rPr>
      </w:pPr>
      <w:r>
        <w:rPr>
          <w:rFonts w:ascii="Times New Roman" w:hAnsi="Times New Roman" w:eastAsia="黑体" w:cs="Times New Roman"/>
          <w:szCs w:val="24"/>
          <w:lang w:val="zh-CN"/>
        </w:rPr>
        <w:t>续表A.0.2-4</w:t>
      </w:r>
    </w:p>
    <w:tbl>
      <w:tblPr>
        <w:tblStyle w:val="15"/>
        <w:tblW w:w="9537"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4"/>
        <w:gridCol w:w="1630"/>
        <w:gridCol w:w="1980"/>
        <w:gridCol w:w="1242"/>
        <w:gridCol w:w="1183"/>
        <w:gridCol w:w="1786"/>
        <w:gridCol w:w="8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884" w:type="dxa"/>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条文号</w:t>
            </w:r>
          </w:p>
        </w:tc>
        <w:tc>
          <w:tcPr>
            <w:tcW w:w="1630" w:type="dxa"/>
            <w:noWrap w:val="0"/>
            <w:vAlign w:val="center"/>
          </w:tcPr>
          <w:p>
            <w:pPr>
              <w:widowControl/>
              <w:spacing w:line="240" w:lineRule="auto"/>
              <w:jc w:val="center"/>
              <w:rPr>
                <w:rFonts w:ascii="Times New Roman" w:hAnsi="Times New Roman" w:cs="Times New Roman"/>
                <w:kern w:val="0"/>
                <w:sz w:val="22"/>
                <w:szCs w:val="24"/>
              </w:rPr>
            </w:pPr>
            <w:r>
              <w:rPr>
                <w:rFonts w:ascii="Times New Roman" w:hAnsi="Times New Roman" w:cs="Times New Roman"/>
                <w:kern w:val="0"/>
                <w:sz w:val="22"/>
                <w:szCs w:val="24"/>
              </w:rPr>
              <w:t>检验参数</w:t>
            </w:r>
          </w:p>
        </w:tc>
        <w:tc>
          <w:tcPr>
            <w:tcW w:w="1980" w:type="dxa"/>
            <w:noWrap w:val="0"/>
            <w:vAlign w:val="center"/>
          </w:tcPr>
          <w:p>
            <w:pPr>
              <w:widowControl/>
              <w:spacing w:line="240" w:lineRule="auto"/>
              <w:jc w:val="center"/>
              <w:rPr>
                <w:rFonts w:ascii="Times New Roman" w:hAnsi="Times New Roman" w:cs="Times New Roman"/>
                <w:kern w:val="0"/>
                <w:sz w:val="22"/>
                <w:szCs w:val="24"/>
              </w:rPr>
            </w:pPr>
            <w:r>
              <w:rPr>
                <w:rFonts w:ascii="Times New Roman" w:hAnsi="Times New Roman" w:cs="Times New Roman"/>
                <w:kern w:val="0"/>
                <w:sz w:val="22"/>
                <w:szCs w:val="24"/>
              </w:rPr>
              <w:t>检验内容</w:t>
            </w:r>
          </w:p>
        </w:tc>
        <w:tc>
          <w:tcPr>
            <w:tcW w:w="1242" w:type="dxa"/>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实测结果</w:t>
            </w:r>
          </w:p>
        </w:tc>
        <w:tc>
          <w:tcPr>
            <w:tcW w:w="1183" w:type="dxa"/>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1"/>
              </w:rPr>
              <w:t>标准或</w:t>
            </w:r>
            <w:r>
              <w:rPr>
                <w:rFonts w:ascii="Times New Roman" w:hAnsi="Times New Roman" w:cs="Times New Roman"/>
                <w:szCs w:val="24"/>
              </w:rPr>
              <w:t>设计要求值</w:t>
            </w:r>
          </w:p>
        </w:tc>
        <w:tc>
          <w:tcPr>
            <w:tcW w:w="1786"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1"/>
              </w:rPr>
              <w:t>检验结论</w:t>
            </w:r>
          </w:p>
        </w:tc>
        <w:tc>
          <w:tcPr>
            <w:tcW w:w="832" w:type="dxa"/>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884" w:type="dxa"/>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9.0.2</w:t>
            </w:r>
          </w:p>
        </w:tc>
        <w:tc>
          <w:tcPr>
            <w:tcW w:w="1630" w:type="dxa"/>
            <w:noWrap w:val="0"/>
            <w:vAlign w:val="center"/>
          </w:tcPr>
          <w:p>
            <w:pPr>
              <w:widowControl/>
              <w:spacing w:line="240" w:lineRule="auto"/>
              <w:jc w:val="center"/>
              <w:rPr>
                <w:rFonts w:ascii="Times New Roman" w:hAnsi="Times New Roman" w:cs="Times New Roman"/>
                <w:kern w:val="0"/>
                <w:szCs w:val="21"/>
              </w:rPr>
            </w:pPr>
            <w:r>
              <w:rPr>
                <w:rFonts w:ascii="Times New Roman" w:hAnsi="Times New Roman" w:cs="Times New Roman"/>
                <w:kern w:val="0"/>
                <w:szCs w:val="21"/>
              </w:rPr>
              <w:t>建筑碳排放</w:t>
            </w:r>
          </w:p>
        </w:tc>
        <w:tc>
          <w:tcPr>
            <w:tcW w:w="1980" w:type="dxa"/>
            <w:noWrap w:val="0"/>
            <w:vAlign w:val="center"/>
          </w:tcPr>
          <w:p>
            <w:pPr>
              <w:widowControl/>
              <w:spacing w:line="240" w:lineRule="auto"/>
              <w:jc w:val="both"/>
              <w:rPr>
                <w:rFonts w:ascii="Times New Roman" w:hAnsi="Times New Roman" w:cs="Times New Roman"/>
                <w:kern w:val="0"/>
                <w:szCs w:val="21"/>
              </w:rPr>
            </w:pPr>
            <w:r>
              <w:rPr>
                <w:rFonts w:ascii="Times New Roman" w:hAnsi="Times New Roman" w:cs="Times New Roman"/>
                <w:kern w:val="0"/>
                <w:szCs w:val="21"/>
              </w:rPr>
              <w:t>碳排放的量化</w:t>
            </w:r>
          </w:p>
        </w:tc>
        <w:tc>
          <w:tcPr>
            <w:tcW w:w="1242" w:type="dxa"/>
            <w:noWrap w:val="0"/>
            <w:vAlign w:val="center"/>
          </w:tcPr>
          <w:p>
            <w:pPr>
              <w:spacing w:line="240" w:lineRule="auto"/>
              <w:jc w:val="both"/>
              <w:rPr>
                <w:rFonts w:ascii="Times New Roman" w:hAnsi="Times New Roman" w:cs="Times New Roman"/>
                <w:szCs w:val="21"/>
              </w:rPr>
            </w:pPr>
          </w:p>
        </w:tc>
        <w:tc>
          <w:tcPr>
            <w:tcW w:w="1183" w:type="dxa"/>
            <w:noWrap w:val="0"/>
            <w:vAlign w:val="center"/>
          </w:tcPr>
          <w:p>
            <w:pPr>
              <w:spacing w:line="240" w:lineRule="auto"/>
              <w:jc w:val="both"/>
              <w:rPr>
                <w:rFonts w:ascii="Times New Roman" w:hAnsi="Times New Roman" w:cs="Times New Roman"/>
                <w:szCs w:val="21"/>
              </w:rPr>
            </w:pPr>
          </w:p>
        </w:tc>
        <w:tc>
          <w:tcPr>
            <w:tcW w:w="1786"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4"/>
                <w:lang w:bidi="ar"/>
              </w:rPr>
              <w:t>□符合  □不符合</w:t>
            </w:r>
          </w:p>
        </w:tc>
        <w:tc>
          <w:tcPr>
            <w:tcW w:w="832" w:type="dxa"/>
            <w:noWrap w:val="0"/>
            <w:vAlign w:val="center"/>
          </w:tcPr>
          <w:p>
            <w:pPr>
              <w:spacing w:line="240" w:lineRule="auto"/>
              <w:jc w:val="both"/>
              <w:rPr>
                <w:rFonts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884" w:type="dxa"/>
            <w:vMerge w:val="restart"/>
            <w:noWrap w:val="0"/>
            <w:vAlign w:val="center"/>
          </w:tcPr>
          <w:p>
            <w:pPr>
              <w:spacing w:line="240" w:lineRule="auto"/>
              <w:jc w:val="center"/>
              <w:rPr>
                <w:rFonts w:ascii="Times New Roman" w:hAnsi="Times New Roman" w:cs="Times New Roman"/>
                <w:szCs w:val="24"/>
              </w:rPr>
            </w:pPr>
            <w:r>
              <w:rPr>
                <w:rFonts w:ascii="Times New Roman" w:hAnsi="Times New Roman" w:cs="Times New Roman"/>
                <w:szCs w:val="24"/>
              </w:rPr>
              <w:t>9.0.3</w:t>
            </w:r>
          </w:p>
        </w:tc>
        <w:tc>
          <w:tcPr>
            <w:tcW w:w="1630" w:type="dxa"/>
            <w:vMerge w:val="restart"/>
            <w:noWrap w:val="0"/>
            <w:vAlign w:val="center"/>
          </w:tcPr>
          <w:p>
            <w:pPr>
              <w:spacing w:line="240" w:lineRule="auto"/>
              <w:jc w:val="center"/>
              <w:rPr>
                <w:rFonts w:ascii="Times New Roman" w:hAnsi="Times New Roman" w:cs="Times New Roman"/>
                <w:kern w:val="0"/>
                <w:szCs w:val="21"/>
              </w:rPr>
            </w:pPr>
            <w:r>
              <w:rPr>
                <w:rFonts w:ascii="Times New Roman" w:hAnsi="Times New Roman" w:cs="Times New Roman"/>
                <w:szCs w:val="24"/>
                <w:lang w:bidi="ar"/>
              </w:rPr>
              <w:t>绿容率</w:t>
            </w:r>
          </w:p>
        </w:tc>
        <w:tc>
          <w:tcPr>
            <w:tcW w:w="1980" w:type="dxa"/>
            <w:noWrap w:val="0"/>
            <w:vAlign w:val="center"/>
          </w:tcPr>
          <w:p>
            <w:pPr>
              <w:spacing w:line="240" w:lineRule="auto"/>
              <w:jc w:val="both"/>
              <w:rPr>
                <w:rFonts w:ascii="Times New Roman" w:hAnsi="Times New Roman" w:cs="Times New Roman"/>
                <w:kern w:val="0"/>
                <w:szCs w:val="21"/>
              </w:rPr>
            </w:pPr>
            <w:r>
              <w:rPr>
                <w:rFonts w:ascii="Times New Roman" w:hAnsi="Times New Roman" w:cs="Times New Roman"/>
                <w:szCs w:val="24"/>
                <w:lang w:bidi="ar"/>
              </w:rPr>
              <w:t>乔木占地面积</w:t>
            </w:r>
          </w:p>
        </w:tc>
        <w:tc>
          <w:tcPr>
            <w:tcW w:w="1242" w:type="dxa"/>
            <w:noWrap w:val="0"/>
            <w:vAlign w:val="center"/>
          </w:tcPr>
          <w:p>
            <w:pPr>
              <w:spacing w:line="240" w:lineRule="auto"/>
              <w:jc w:val="both"/>
              <w:rPr>
                <w:rFonts w:ascii="Times New Roman" w:hAnsi="Times New Roman" w:cs="Times New Roman"/>
                <w:szCs w:val="21"/>
              </w:rPr>
            </w:pPr>
          </w:p>
        </w:tc>
        <w:tc>
          <w:tcPr>
            <w:tcW w:w="1183" w:type="dxa"/>
            <w:noWrap w:val="0"/>
            <w:vAlign w:val="top"/>
          </w:tcPr>
          <w:p>
            <w:pPr>
              <w:spacing w:line="240" w:lineRule="auto"/>
              <w:jc w:val="both"/>
              <w:rPr>
                <w:rFonts w:ascii="Times New Roman" w:hAnsi="Times New Roman" w:cs="Times New Roman"/>
                <w:szCs w:val="21"/>
              </w:rPr>
            </w:pPr>
          </w:p>
        </w:tc>
        <w:tc>
          <w:tcPr>
            <w:tcW w:w="1786"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4"/>
                <w:lang w:bidi="ar"/>
              </w:rPr>
              <w:t>□符合  □不符合</w:t>
            </w:r>
          </w:p>
        </w:tc>
        <w:tc>
          <w:tcPr>
            <w:tcW w:w="832" w:type="dxa"/>
            <w:noWrap w:val="0"/>
            <w:vAlign w:val="center"/>
          </w:tcPr>
          <w:p>
            <w:pPr>
              <w:spacing w:line="240" w:lineRule="auto"/>
              <w:jc w:val="both"/>
              <w:rPr>
                <w:rFonts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884" w:type="dxa"/>
            <w:vMerge w:val="continue"/>
            <w:noWrap w:val="0"/>
            <w:vAlign w:val="center"/>
          </w:tcPr>
          <w:p>
            <w:pPr>
              <w:spacing w:line="240" w:lineRule="auto"/>
              <w:jc w:val="center"/>
              <w:rPr>
                <w:rFonts w:ascii="Times New Roman" w:hAnsi="Times New Roman" w:cs="Times New Roman"/>
                <w:szCs w:val="24"/>
              </w:rPr>
            </w:pPr>
          </w:p>
        </w:tc>
        <w:tc>
          <w:tcPr>
            <w:tcW w:w="1630" w:type="dxa"/>
            <w:vMerge w:val="continue"/>
            <w:noWrap w:val="0"/>
            <w:vAlign w:val="center"/>
          </w:tcPr>
          <w:p>
            <w:pPr>
              <w:spacing w:line="240" w:lineRule="auto"/>
              <w:jc w:val="both"/>
              <w:rPr>
                <w:rFonts w:ascii="Times New Roman" w:hAnsi="Times New Roman" w:cs="Times New Roman"/>
                <w:kern w:val="0"/>
                <w:szCs w:val="21"/>
              </w:rPr>
            </w:pPr>
          </w:p>
        </w:tc>
        <w:tc>
          <w:tcPr>
            <w:tcW w:w="1980" w:type="dxa"/>
            <w:noWrap w:val="0"/>
            <w:vAlign w:val="center"/>
          </w:tcPr>
          <w:p>
            <w:pPr>
              <w:spacing w:line="240" w:lineRule="auto"/>
              <w:jc w:val="both"/>
              <w:rPr>
                <w:rFonts w:ascii="Times New Roman" w:hAnsi="Times New Roman" w:cs="Times New Roman"/>
                <w:kern w:val="0"/>
                <w:szCs w:val="21"/>
              </w:rPr>
            </w:pPr>
            <w:r>
              <w:rPr>
                <w:rFonts w:ascii="Times New Roman" w:hAnsi="Times New Roman" w:cs="Times New Roman"/>
                <w:szCs w:val="24"/>
                <w:lang w:bidi="ar"/>
              </w:rPr>
              <w:t>灌木占地面积</w:t>
            </w:r>
          </w:p>
        </w:tc>
        <w:tc>
          <w:tcPr>
            <w:tcW w:w="1242" w:type="dxa"/>
            <w:noWrap w:val="0"/>
            <w:vAlign w:val="center"/>
          </w:tcPr>
          <w:p>
            <w:pPr>
              <w:spacing w:line="240" w:lineRule="auto"/>
              <w:jc w:val="both"/>
              <w:rPr>
                <w:rFonts w:ascii="Times New Roman" w:hAnsi="Times New Roman" w:cs="Times New Roman"/>
                <w:szCs w:val="21"/>
              </w:rPr>
            </w:pPr>
          </w:p>
        </w:tc>
        <w:tc>
          <w:tcPr>
            <w:tcW w:w="1183" w:type="dxa"/>
            <w:noWrap w:val="0"/>
            <w:vAlign w:val="top"/>
          </w:tcPr>
          <w:p>
            <w:pPr>
              <w:spacing w:line="240" w:lineRule="auto"/>
              <w:jc w:val="both"/>
              <w:rPr>
                <w:rFonts w:ascii="Times New Roman" w:hAnsi="Times New Roman" w:cs="Times New Roman"/>
                <w:szCs w:val="21"/>
              </w:rPr>
            </w:pPr>
          </w:p>
        </w:tc>
        <w:tc>
          <w:tcPr>
            <w:tcW w:w="1786"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4"/>
                <w:lang w:bidi="ar"/>
              </w:rPr>
              <w:t>□符合  □不符合</w:t>
            </w:r>
          </w:p>
        </w:tc>
        <w:tc>
          <w:tcPr>
            <w:tcW w:w="832" w:type="dxa"/>
            <w:noWrap w:val="0"/>
            <w:vAlign w:val="center"/>
          </w:tcPr>
          <w:p>
            <w:pPr>
              <w:spacing w:line="240" w:lineRule="auto"/>
              <w:jc w:val="both"/>
              <w:rPr>
                <w:rFonts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884" w:type="dxa"/>
            <w:vMerge w:val="continue"/>
            <w:noWrap w:val="0"/>
            <w:vAlign w:val="center"/>
          </w:tcPr>
          <w:p>
            <w:pPr>
              <w:spacing w:line="240" w:lineRule="auto"/>
              <w:jc w:val="center"/>
              <w:rPr>
                <w:rFonts w:ascii="Times New Roman" w:hAnsi="Times New Roman" w:cs="Times New Roman"/>
                <w:szCs w:val="24"/>
              </w:rPr>
            </w:pPr>
          </w:p>
        </w:tc>
        <w:tc>
          <w:tcPr>
            <w:tcW w:w="1630" w:type="dxa"/>
            <w:vMerge w:val="continue"/>
            <w:noWrap w:val="0"/>
            <w:vAlign w:val="center"/>
          </w:tcPr>
          <w:p>
            <w:pPr>
              <w:spacing w:line="240" w:lineRule="auto"/>
              <w:jc w:val="both"/>
              <w:rPr>
                <w:rFonts w:ascii="Times New Roman" w:hAnsi="Times New Roman" w:cs="Times New Roman"/>
                <w:kern w:val="0"/>
                <w:szCs w:val="21"/>
              </w:rPr>
            </w:pPr>
          </w:p>
        </w:tc>
        <w:tc>
          <w:tcPr>
            <w:tcW w:w="1980" w:type="dxa"/>
            <w:noWrap w:val="0"/>
            <w:vAlign w:val="center"/>
          </w:tcPr>
          <w:p>
            <w:pPr>
              <w:spacing w:line="240" w:lineRule="auto"/>
              <w:jc w:val="both"/>
              <w:rPr>
                <w:rFonts w:ascii="Times New Roman" w:hAnsi="Times New Roman" w:cs="Times New Roman"/>
                <w:kern w:val="0"/>
                <w:szCs w:val="21"/>
              </w:rPr>
            </w:pPr>
            <w:r>
              <w:rPr>
                <w:rFonts w:ascii="Times New Roman" w:hAnsi="Times New Roman" w:cs="Times New Roman"/>
                <w:szCs w:val="24"/>
                <w:lang w:bidi="ar"/>
              </w:rPr>
              <w:t>草本占地面积</w:t>
            </w:r>
          </w:p>
        </w:tc>
        <w:tc>
          <w:tcPr>
            <w:tcW w:w="1242" w:type="dxa"/>
            <w:noWrap w:val="0"/>
            <w:vAlign w:val="center"/>
          </w:tcPr>
          <w:p>
            <w:pPr>
              <w:spacing w:line="240" w:lineRule="auto"/>
              <w:jc w:val="both"/>
              <w:rPr>
                <w:rFonts w:ascii="Times New Roman" w:hAnsi="Times New Roman" w:cs="Times New Roman"/>
                <w:szCs w:val="21"/>
              </w:rPr>
            </w:pPr>
          </w:p>
        </w:tc>
        <w:tc>
          <w:tcPr>
            <w:tcW w:w="1183" w:type="dxa"/>
            <w:noWrap w:val="0"/>
            <w:vAlign w:val="top"/>
          </w:tcPr>
          <w:p>
            <w:pPr>
              <w:spacing w:line="240" w:lineRule="auto"/>
              <w:jc w:val="both"/>
              <w:rPr>
                <w:rFonts w:ascii="Times New Roman" w:hAnsi="Times New Roman" w:cs="Times New Roman"/>
                <w:szCs w:val="21"/>
              </w:rPr>
            </w:pPr>
          </w:p>
        </w:tc>
        <w:tc>
          <w:tcPr>
            <w:tcW w:w="1786"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4"/>
                <w:lang w:bidi="ar"/>
              </w:rPr>
              <w:t>□符合  □不符合</w:t>
            </w:r>
          </w:p>
        </w:tc>
        <w:tc>
          <w:tcPr>
            <w:tcW w:w="832" w:type="dxa"/>
            <w:noWrap w:val="0"/>
            <w:vAlign w:val="center"/>
          </w:tcPr>
          <w:p>
            <w:pPr>
              <w:spacing w:line="240" w:lineRule="auto"/>
              <w:jc w:val="both"/>
              <w:rPr>
                <w:rFonts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trPr>
        <w:tc>
          <w:tcPr>
            <w:tcW w:w="884" w:type="dxa"/>
            <w:vMerge w:val="continue"/>
            <w:noWrap w:val="0"/>
            <w:vAlign w:val="center"/>
          </w:tcPr>
          <w:p>
            <w:pPr>
              <w:spacing w:line="240" w:lineRule="auto"/>
              <w:jc w:val="center"/>
              <w:rPr>
                <w:rFonts w:ascii="Times New Roman" w:hAnsi="Times New Roman" w:cs="Times New Roman"/>
                <w:szCs w:val="24"/>
              </w:rPr>
            </w:pPr>
          </w:p>
        </w:tc>
        <w:tc>
          <w:tcPr>
            <w:tcW w:w="1630" w:type="dxa"/>
            <w:vMerge w:val="continue"/>
            <w:noWrap w:val="0"/>
            <w:vAlign w:val="center"/>
          </w:tcPr>
          <w:p>
            <w:pPr>
              <w:spacing w:line="240" w:lineRule="auto"/>
              <w:jc w:val="both"/>
              <w:rPr>
                <w:rFonts w:ascii="Times New Roman" w:hAnsi="Times New Roman" w:cs="Times New Roman"/>
                <w:kern w:val="0"/>
                <w:szCs w:val="21"/>
              </w:rPr>
            </w:pPr>
          </w:p>
        </w:tc>
        <w:tc>
          <w:tcPr>
            <w:tcW w:w="1980" w:type="dxa"/>
            <w:noWrap w:val="0"/>
            <w:vAlign w:val="center"/>
          </w:tcPr>
          <w:p>
            <w:pPr>
              <w:spacing w:line="240" w:lineRule="auto"/>
              <w:jc w:val="both"/>
              <w:rPr>
                <w:rFonts w:ascii="Times New Roman" w:hAnsi="Times New Roman" w:cs="Times New Roman"/>
                <w:kern w:val="0"/>
                <w:szCs w:val="21"/>
              </w:rPr>
            </w:pPr>
            <w:r>
              <w:rPr>
                <w:rFonts w:ascii="Times New Roman" w:hAnsi="Times New Roman" w:cs="Times New Roman"/>
                <w:szCs w:val="24"/>
                <w:lang w:bidi="ar"/>
              </w:rPr>
              <w:t>垂直绿化面积</w:t>
            </w:r>
          </w:p>
        </w:tc>
        <w:tc>
          <w:tcPr>
            <w:tcW w:w="1242" w:type="dxa"/>
            <w:noWrap w:val="0"/>
            <w:vAlign w:val="center"/>
          </w:tcPr>
          <w:p>
            <w:pPr>
              <w:spacing w:line="240" w:lineRule="auto"/>
              <w:jc w:val="both"/>
              <w:rPr>
                <w:rFonts w:ascii="Times New Roman" w:hAnsi="Times New Roman" w:cs="Times New Roman"/>
                <w:szCs w:val="21"/>
              </w:rPr>
            </w:pPr>
          </w:p>
        </w:tc>
        <w:tc>
          <w:tcPr>
            <w:tcW w:w="1183" w:type="dxa"/>
            <w:noWrap w:val="0"/>
            <w:vAlign w:val="top"/>
          </w:tcPr>
          <w:p>
            <w:pPr>
              <w:spacing w:line="240" w:lineRule="auto"/>
              <w:jc w:val="both"/>
              <w:rPr>
                <w:rFonts w:ascii="Times New Roman" w:hAnsi="Times New Roman" w:cs="Times New Roman"/>
                <w:szCs w:val="21"/>
              </w:rPr>
            </w:pPr>
          </w:p>
        </w:tc>
        <w:tc>
          <w:tcPr>
            <w:tcW w:w="1786" w:type="dxa"/>
            <w:noWrap w:val="0"/>
            <w:vAlign w:val="center"/>
          </w:tcPr>
          <w:p>
            <w:pPr>
              <w:spacing w:line="240" w:lineRule="auto"/>
              <w:jc w:val="center"/>
              <w:rPr>
                <w:rFonts w:ascii="Times New Roman" w:hAnsi="Times New Roman" w:cs="Times New Roman"/>
                <w:szCs w:val="21"/>
              </w:rPr>
            </w:pPr>
            <w:r>
              <w:rPr>
                <w:rFonts w:ascii="Times New Roman" w:hAnsi="Times New Roman" w:cs="Times New Roman"/>
                <w:szCs w:val="24"/>
                <w:lang w:bidi="ar"/>
              </w:rPr>
              <w:t>□符合  □不符合</w:t>
            </w:r>
          </w:p>
        </w:tc>
        <w:tc>
          <w:tcPr>
            <w:tcW w:w="832" w:type="dxa"/>
            <w:noWrap w:val="0"/>
            <w:vAlign w:val="center"/>
          </w:tcPr>
          <w:p>
            <w:pPr>
              <w:spacing w:line="240" w:lineRule="auto"/>
              <w:jc w:val="both"/>
              <w:rPr>
                <w:rFonts w:ascii="Times New Roman" w:hAnsi="Times New Roman" w:cs="Times New Roman"/>
                <w:szCs w:val="21"/>
              </w:rPr>
            </w:pPr>
          </w:p>
        </w:tc>
      </w:tr>
      <w:bookmarkEnd w:id="8"/>
    </w:tbl>
    <w:p>
      <w:pPr>
        <w:spacing w:line="240" w:lineRule="auto"/>
        <w:jc w:val="both"/>
        <w:rPr>
          <w:rFonts w:ascii="Times New Roman" w:hAnsi="Times New Roman" w:cs="Times New Roman"/>
          <w:szCs w:val="24"/>
          <w:lang w:val="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sectPr>
          <w:headerReference r:id="rId13" w:type="default"/>
          <w:footerReference r:id="rId14" w:type="default"/>
          <w:footerReference r:id="rId15" w:type="even"/>
          <w:pgSz w:w="11906" w:h="16838"/>
          <w:pgMar w:top="1610" w:right="1349" w:bottom="1213" w:left="1293" w:header="851" w:footer="992" w:gutter="0"/>
          <w:pgBorders>
            <w:top w:val="none" w:sz="0" w:space="0"/>
            <w:left w:val="none" w:sz="0" w:space="0"/>
            <w:bottom w:val="none" w:sz="0" w:space="0"/>
            <w:right w:val="none" w:sz="0" w:space="0"/>
          </w:pgBorders>
          <w:pgNumType w:fmt="decimal"/>
          <w:cols w:space="0" w:num="1"/>
          <w:rtlGutter w:val="0"/>
          <w:docGrid w:type="linesAndChars" w:linePitch="312" w:charSpace="0"/>
        </w:sectPr>
      </w:pPr>
    </w:p>
    <w:p>
      <w:pPr>
        <w:widowControl/>
        <w:jc w:val="center"/>
        <w:rPr>
          <w:rFonts w:eastAsia="黑体"/>
          <w:sz w:val="32"/>
          <w:szCs w:val="32"/>
        </w:rPr>
      </w:pPr>
    </w:p>
    <w:p>
      <w:pPr>
        <w:widowControl/>
        <w:jc w:val="center"/>
        <w:rPr>
          <w:rFonts w:eastAsia="黑体"/>
          <w:sz w:val="32"/>
          <w:szCs w:val="32"/>
        </w:rPr>
      </w:pPr>
    </w:p>
    <w:p>
      <w:pPr>
        <w:widowControl/>
        <w:jc w:val="center"/>
        <w:rPr>
          <w:rFonts w:eastAsia="黑体"/>
          <w:sz w:val="32"/>
          <w:szCs w:val="32"/>
        </w:rPr>
      </w:pPr>
    </w:p>
    <w:p>
      <w:pPr>
        <w:widowControl/>
        <w:jc w:val="center"/>
        <w:rPr>
          <w:rFonts w:eastAsia="黑体"/>
          <w:sz w:val="32"/>
          <w:szCs w:val="32"/>
        </w:rPr>
      </w:pPr>
      <w:r>
        <w:rPr>
          <w:rFonts w:eastAsia="黑体"/>
          <w:sz w:val="32"/>
          <w:szCs w:val="32"/>
        </w:rPr>
        <w:t>深圳市工程建设</w:t>
      </w:r>
      <w:r>
        <w:rPr>
          <w:rFonts w:hint="eastAsia" w:eastAsia="黑体"/>
          <w:sz w:val="32"/>
          <w:szCs w:val="32"/>
        </w:rPr>
        <w:t>地方</w:t>
      </w:r>
      <w:r>
        <w:rPr>
          <w:rFonts w:eastAsia="黑体"/>
          <w:sz w:val="32"/>
          <w:szCs w:val="32"/>
        </w:rPr>
        <w:t>标准</w:t>
      </w:r>
    </w:p>
    <w:p>
      <w:pPr>
        <w:ind w:right="-42" w:rightChars="-20"/>
        <w:rPr>
          <w:rFonts w:eastAsia="黑体"/>
          <w:b/>
          <w:sz w:val="30"/>
          <w:szCs w:val="30"/>
        </w:rPr>
      </w:pPr>
    </w:p>
    <w:p>
      <w:pPr>
        <w:jc w:val="center"/>
        <w:rPr>
          <w:rFonts w:ascii="宋体" w:hAnsi="宋体"/>
          <w:b/>
          <w:sz w:val="32"/>
          <w:szCs w:val="32"/>
        </w:rPr>
      </w:pPr>
      <w:r>
        <w:rPr>
          <w:rFonts w:hint="eastAsia" w:ascii="宋体" w:hAnsi="宋体"/>
          <w:b/>
          <w:sz w:val="32"/>
          <w:szCs w:val="32"/>
        </w:rPr>
        <w:t>绿色建筑运行检验技术规程</w:t>
      </w:r>
    </w:p>
    <w:p>
      <w:pPr>
        <w:jc w:val="center"/>
        <w:rPr>
          <w:rFonts w:ascii="宋体" w:hAnsi="宋体"/>
          <w:b/>
          <w:bCs/>
          <w:sz w:val="32"/>
          <w:szCs w:val="32"/>
        </w:rPr>
      </w:pPr>
    </w:p>
    <w:p>
      <w:pPr>
        <w:jc w:val="center"/>
        <w:rPr>
          <w:b/>
          <w:sz w:val="30"/>
        </w:rPr>
      </w:pPr>
      <w:r>
        <w:rPr>
          <w:b/>
          <w:sz w:val="30"/>
        </w:rPr>
        <w:t xml:space="preserve">SJG </w:t>
      </w:r>
      <w:r>
        <w:rPr>
          <w:rFonts w:hint="eastAsia"/>
          <w:b/>
          <w:sz w:val="30"/>
          <w:lang w:val="en-US" w:eastAsia="zh-CN"/>
        </w:rPr>
        <w:t>XX</w:t>
      </w:r>
      <w:r>
        <w:rPr>
          <w:rFonts w:eastAsia="黑体e眠副浡渀."/>
          <w:b/>
          <w:sz w:val="28"/>
          <w:szCs w:val="28"/>
        </w:rPr>
        <w:t xml:space="preserve"> </w:t>
      </w:r>
      <w:r>
        <w:rPr>
          <w:rFonts w:hint="eastAsia" w:ascii="宋体" w:hAnsi="宋体"/>
          <w:b/>
          <w:sz w:val="28"/>
          <w:szCs w:val="28"/>
        </w:rPr>
        <w:t>-</w:t>
      </w:r>
      <w:r>
        <w:rPr>
          <w:rFonts w:hint="eastAsia"/>
          <w:b/>
          <w:sz w:val="28"/>
          <w:szCs w:val="28"/>
        </w:rPr>
        <w:t xml:space="preserve"> </w:t>
      </w:r>
      <w:r>
        <w:rPr>
          <w:rFonts w:hint="eastAsia"/>
          <w:b/>
          <w:sz w:val="30"/>
        </w:rPr>
        <w:t>202</w:t>
      </w:r>
      <w:r>
        <w:rPr>
          <w:rFonts w:hint="eastAsia"/>
          <w:b/>
          <w:sz w:val="30"/>
          <w:lang w:val="en-US" w:eastAsia="zh-CN"/>
        </w:rPr>
        <w:t>X</w:t>
      </w:r>
    </w:p>
    <w:p>
      <w:pPr>
        <w:ind w:firstLine="480"/>
      </w:pPr>
    </w:p>
    <w:p>
      <w:pPr>
        <w:ind w:firstLine="480"/>
      </w:pPr>
    </w:p>
    <w:p>
      <w:pPr>
        <w:jc w:val="center"/>
        <w:outlineLvl w:val="0"/>
        <w:rPr>
          <w:b/>
          <w:sz w:val="36"/>
          <w:szCs w:val="36"/>
        </w:rPr>
      </w:pPr>
      <w:bookmarkStart w:id="67" w:name="_Toc49851384"/>
      <w:bookmarkStart w:id="68" w:name="_Toc93389587"/>
      <w:bookmarkStart w:id="69" w:name="_Toc48203657"/>
      <w:bookmarkStart w:id="70" w:name="_Toc49876765"/>
      <w:bookmarkStart w:id="71" w:name="_Toc92982247"/>
      <w:bookmarkStart w:id="72" w:name="_Toc96096905"/>
      <w:bookmarkStart w:id="73" w:name="_Toc93998978"/>
      <w:bookmarkStart w:id="74" w:name="_Toc93999739"/>
      <w:bookmarkStart w:id="75" w:name="_Toc48203498"/>
      <w:bookmarkStart w:id="76" w:name="_Toc49880526"/>
      <w:bookmarkStart w:id="77" w:name="_Toc93350498"/>
      <w:bookmarkStart w:id="78" w:name="_Toc49879944"/>
      <w:bookmarkStart w:id="79" w:name="_Toc48203206"/>
      <w:bookmarkStart w:id="80" w:name="_Toc93909047"/>
      <w:bookmarkStart w:id="81" w:name="_Toc96414874"/>
      <w:bookmarkStart w:id="82" w:name="_Toc80881037"/>
      <w:bookmarkStart w:id="83" w:name="_Toc96099467"/>
      <w:bookmarkStart w:id="84" w:name="_Toc93677055"/>
      <w:bookmarkStart w:id="85" w:name="_Toc80871088"/>
      <w:bookmarkStart w:id="86" w:name="_Toc5729"/>
      <w:r>
        <w:rPr>
          <w:b/>
          <w:sz w:val="36"/>
          <w:szCs w:val="36"/>
        </w:rPr>
        <w:t>条</w:t>
      </w:r>
      <w:r>
        <w:rPr>
          <w:rFonts w:hint="eastAsia"/>
          <w:b/>
          <w:sz w:val="36"/>
          <w:szCs w:val="36"/>
          <w:lang w:val="en-US" w:eastAsia="zh-CN"/>
        </w:rPr>
        <w:t xml:space="preserve"> </w:t>
      </w:r>
      <w:r>
        <w:rPr>
          <w:b/>
          <w:sz w:val="36"/>
          <w:szCs w:val="36"/>
        </w:rPr>
        <w:t>文</w:t>
      </w:r>
      <w:r>
        <w:rPr>
          <w:rFonts w:hint="eastAsia"/>
          <w:b/>
          <w:sz w:val="36"/>
          <w:szCs w:val="36"/>
          <w:lang w:val="en-US" w:eastAsia="zh-CN"/>
        </w:rPr>
        <w:t xml:space="preserve"> </w:t>
      </w:r>
      <w:r>
        <w:rPr>
          <w:b/>
          <w:sz w:val="36"/>
          <w:szCs w:val="36"/>
        </w:rPr>
        <w:t>说</w:t>
      </w:r>
      <w:r>
        <w:rPr>
          <w:rFonts w:hint="eastAsia"/>
          <w:b/>
          <w:sz w:val="36"/>
          <w:szCs w:val="36"/>
          <w:lang w:val="en-US" w:eastAsia="zh-CN"/>
        </w:rPr>
        <w:t xml:space="preserve"> </w:t>
      </w:r>
      <w:r>
        <w:rPr>
          <w:b/>
          <w:sz w:val="36"/>
          <w:szCs w:val="36"/>
        </w:rPr>
        <w:t>明</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p>
    <w:p>
      <w:pPr>
        <w:jc w:val="center"/>
      </w:pPr>
    </w:p>
    <w:p>
      <w:pPr>
        <w:rPr>
          <w:rFonts w:hint="eastAsia"/>
          <w:lang w:val="en-US" w:eastAsia="zh-CN"/>
        </w:rPr>
      </w:pPr>
    </w:p>
    <w:p>
      <w:pPr>
        <w:bidi w:val="0"/>
        <w:rPr>
          <w:rFonts w:hint="eastAsia" w:ascii="Times New Roman" w:hAnsi="Times New Roman" w:eastAsia="宋体" w:cstheme="minorBidi"/>
          <w:kern w:val="2"/>
          <w:sz w:val="21"/>
          <w:szCs w:val="21"/>
          <w:lang w:val="en-US" w:eastAsia="zh-CN" w:bidi="ar-SA"/>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tabs>
          <w:tab w:val="left" w:pos="6620"/>
        </w:tabs>
        <w:bidi w:val="0"/>
        <w:jc w:val="left"/>
        <w:rPr>
          <w:rFonts w:hint="eastAsia"/>
          <w:lang w:val="en-US" w:eastAsia="zh-CN"/>
        </w:rPr>
        <w:sectPr>
          <w:pgSz w:w="11906" w:h="16838"/>
          <w:pgMar w:top="1610" w:right="1349" w:bottom="1213" w:left="1293" w:header="851" w:footer="992" w:gutter="0"/>
          <w:pgBorders>
            <w:top w:val="none" w:sz="0" w:space="0"/>
            <w:left w:val="none" w:sz="0" w:space="0"/>
            <w:bottom w:val="none" w:sz="0" w:space="0"/>
            <w:right w:val="none" w:sz="0" w:space="0"/>
          </w:pgBorders>
          <w:pgNumType w:fmt="decimal"/>
          <w:cols w:space="0" w:num="1"/>
          <w:rtlGutter w:val="0"/>
          <w:docGrid w:type="linesAndChars" w:linePitch="312" w:charSpace="0"/>
        </w:sectPr>
      </w:pPr>
      <w:r>
        <w:rPr>
          <w:rFonts w:hint="eastAsia"/>
          <w:lang w:val="en-US" w:eastAsia="zh-CN"/>
        </w:rPr>
        <w:tab/>
      </w:r>
    </w:p>
    <w:p>
      <w:pPr>
        <w:pStyle w:val="36"/>
        <w:spacing w:before="312" w:after="312" w:line="360" w:lineRule="auto"/>
        <w:rPr>
          <w:bCs w:val="0"/>
          <w:sz w:val="30"/>
          <w:szCs w:val="30"/>
        </w:rPr>
      </w:pPr>
      <w:r>
        <w:rPr>
          <w:bCs w:val="0"/>
          <w:sz w:val="30"/>
          <w:szCs w:val="30"/>
        </w:rPr>
        <w:t>目  录</w:t>
      </w:r>
    </w:p>
    <w:p>
      <w:pPr>
        <w:pStyle w:val="12"/>
        <w:tabs>
          <w:tab w:val="left" w:pos="284"/>
          <w:tab w:val="right" w:leader="dot" w:pos="8302"/>
        </w:tabs>
        <w:rPr>
          <w:rFonts w:hint="eastAsia" w:ascii="等线" w:hAnsi="等线" w:eastAsia="宋体"/>
          <w:b w:val="0"/>
          <w:sz w:val="24"/>
          <w:szCs w:val="24"/>
          <w:shd w:val="clear" w:color="auto" w:fill="auto"/>
          <w:lang w:val="en-US" w:eastAsia="zh-CN"/>
        </w:rPr>
      </w:pPr>
      <w:r>
        <w:rPr>
          <w:sz w:val="24"/>
          <w:szCs w:val="24"/>
          <w:shd w:val="clear" w:color="FFFFFF" w:fill="D9D9D9"/>
        </w:rPr>
        <w:fldChar w:fldCharType="begin"/>
      </w:r>
      <w:r>
        <w:rPr>
          <w:sz w:val="24"/>
          <w:szCs w:val="24"/>
          <w:shd w:val="clear" w:color="FFFFFF" w:fill="D9D9D9"/>
        </w:rPr>
        <w:instrText xml:space="preserve"> TOC \o "1-2" \h \z \u </w:instrText>
      </w:r>
      <w:r>
        <w:rPr>
          <w:sz w:val="24"/>
          <w:szCs w:val="24"/>
          <w:shd w:val="clear" w:color="FFFFFF" w:fill="D9D9D9"/>
        </w:rPr>
        <w:fldChar w:fldCharType="separate"/>
      </w:r>
      <w:r>
        <w:rPr>
          <w:rStyle w:val="20"/>
          <w:sz w:val="24"/>
          <w:szCs w:val="24"/>
          <w:shd w:val="clear" w:color="auto" w:fill="auto"/>
        </w:rPr>
        <w:fldChar w:fldCharType="begin"/>
      </w:r>
      <w:r>
        <w:rPr>
          <w:rStyle w:val="20"/>
          <w:sz w:val="24"/>
          <w:szCs w:val="24"/>
          <w:shd w:val="clear" w:color="auto" w:fill="auto"/>
        </w:rPr>
        <w:instrText xml:space="preserve"> </w:instrText>
      </w:r>
      <w:r>
        <w:rPr>
          <w:sz w:val="24"/>
          <w:szCs w:val="24"/>
          <w:shd w:val="clear" w:color="auto" w:fill="auto"/>
        </w:rPr>
        <w:instrText xml:space="preserve">HYPERLINK \l "_Toc204157410"</w:instrText>
      </w:r>
      <w:r>
        <w:rPr>
          <w:rStyle w:val="20"/>
          <w:sz w:val="24"/>
          <w:szCs w:val="24"/>
          <w:shd w:val="clear" w:color="auto" w:fill="auto"/>
        </w:rPr>
        <w:instrText xml:space="preserve"> </w:instrText>
      </w:r>
      <w:r>
        <w:rPr>
          <w:rStyle w:val="20"/>
          <w:sz w:val="24"/>
          <w:szCs w:val="24"/>
          <w:shd w:val="clear" w:color="auto" w:fill="auto"/>
        </w:rPr>
        <w:fldChar w:fldCharType="separate"/>
      </w:r>
      <w:r>
        <w:rPr>
          <w:rStyle w:val="20"/>
          <w:sz w:val="24"/>
          <w:szCs w:val="24"/>
          <w:shd w:val="clear" w:color="auto" w:fill="auto"/>
        </w:rPr>
        <w:t>1</w:t>
      </w:r>
      <w:r>
        <w:rPr>
          <w:rFonts w:ascii="等线" w:hAnsi="等线" w:eastAsia="等线"/>
          <w:b w:val="0"/>
          <w:sz w:val="24"/>
          <w:szCs w:val="24"/>
          <w:shd w:val="clear" w:color="auto" w:fill="auto"/>
        </w:rPr>
        <w:tab/>
      </w:r>
      <w:r>
        <w:rPr>
          <w:rStyle w:val="20"/>
          <w:sz w:val="24"/>
          <w:szCs w:val="24"/>
          <w:shd w:val="clear" w:color="auto" w:fill="auto"/>
        </w:rPr>
        <w:t>总 则</w:t>
      </w:r>
      <w:r>
        <w:rPr>
          <w:sz w:val="24"/>
          <w:szCs w:val="24"/>
          <w:shd w:val="clear" w:color="auto" w:fill="auto"/>
        </w:rPr>
        <w:tab/>
      </w:r>
      <w:r>
        <w:rPr>
          <w:rFonts w:hint="eastAsia"/>
          <w:sz w:val="24"/>
          <w:szCs w:val="24"/>
          <w:shd w:val="clear" w:color="auto" w:fill="auto"/>
          <w:lang w:val="en-US" w:eastAsia="zh-CN"/>
        </w:rPr>
        <w:t>5</w:t>
      </w:r>
      <w:r>
        <w:rPr>
          <w:rStyle w:val="20"/>
          <w:sz w:val="24"/>
          <w:szCs w:val="24"/>
          <w:shd w:val="clear" w:color="auto" w:fill="auto"/>
        </w:rPr>
        <w:fldChar w:fldCharType="end"/>
      </w:r>
      <w:r>
        <w:rPr>
          <w:rStyle w:val="20"/>
          <w:rFonts w:hint="eastAsia"/>
          <w:sz w:val="24"/>
          <w:szCs w:val="24"/>
          <w:shd w:val="clear" w:color="auto" w:fill="auto"/>
          <w:lang w:val="en-US" w:eastAsia="zh-CN"/>
        </w:rPr>
        <w:t>0</w:t>
      </w:r>
    </w:p>
    <w:p>
      <w:pPr>
        <w:pStyle w:val="12"/>
        <w:tabs>
          <w:tab w:val="left" w:pos="284"/>
          <w:tab w:val="right" w:leader="dot" w:pos="8302"/>
        </w:tabs>
        <w:rPr>
          <w:rFonts w:hint="eastAsia" w:ascii="等线" w:hAnsi="等线" w:eastAsia="宋体"/>
          <w:b w:val="0"/>
          <w:sz w:val="24"/>
          <w:szCs w:val="24"/>
          <w:shd w:val="clear" w:color="auto" w:fill="auto"/>
          <w:lang w:val="en-US" w:eastAsia="zh-CN"/>
        </w:rPr>
      </w:pPr>
      <w:r>
        <w:rPr>
          <w:rStyle w:val="20"/>
          <w:sz w:val="24"/>
          <w:szCs w:val="24"/>
          <w:shd w:val="clear" w:color="auto" w:fill="auto"/>
        </w:rPr>
        <w:fldChar w:fldCharType="begin"/>
      </w:r>
      <w:r>
        <w:rPr>
          <w:rStyle w:val="20"/>
          <w:sz w:val="24"/>
          <w:szCs w:val="24"/>
          <w:shd w:val="clear" w:color="auto" w:fill="auto"/>
        </w:rPr>
        <w:instrText xml:space="preserve"> </w:instrText>
      </w:r>
      <w:r>
        <w:rPr>
          <w:sz w:val="24"/>
          <w:szCs w:val="24"/>
          <w:shd w:val="clear" w:color="auto" w:fill="auto"/>
        </w:rPr>
        <w:instrText xml:space="preserve">HYPERLINK \l "_Toc204157412"</w:instrText>
      </w:r>
      <w:r>
        <w:rPr>
          <w:rStyle w:val="20"/>
          <w:sz w:val="24"/>
          <w:szCs w:val="24"/>
          <w:shd w:val="clear" w:color="auto" w:fill="auto"/>
        </w:rPr>
        <w:instrText xml:space="preserve"> </w:instrText>
      </w:r>
      <w:r>
        <w:rPr>
          <w:rStyle w:val="20"/>
          <w:sz w:val="24"/>
          <w:szCs w:val="24"/>
          <w:shd w:val="clear" w:color="auto" w:fill="auto"/>
        </w:rPr>
        <w:fldChar w:fldCharType="separate"/>
      </w:r>
      <w:r>
        <w:rPr>
          <w:rStyle w:val="20"/>
          <w:sz w:val="24"/>
          <w:szCs w:val="24"/>
          <w:shd w:val="clear" w:color="auto" w:fill="auto"/>
        </w:rPr>
        <w:t>3</w:t>
      </w:r>
      <w:r>
        <w:rPr>
          <w:rFonts w:ascii="等线" w:hAnsi="等线" w:eastAsia="等线"/>
          <w:b w:val="0"/>
          <w:sz w:val="24"/>
          <w:szCs w:val="24"/>
          <w:shd w:val="clear" w:color="auto" w:fill="auto"/>
        </w:rPr>
        <w:tab/>
      </w:r>
      <w:r>
        <w:rPr>
          <w:rStyle w:val="20"/>
          <w:sz w:val="24"/>
          <w:szCs w:val="24"/>
          <w:shd w:val="clear" w:color="auto" w:fill="auto"/>
        </w:rPr>
        <w:t>基本规定</w:t>
      </w:r>
      <w:r>
        <w:rPr>
          <w:sz w:val="24"/>
          <w:szCs w:val="24"/>
          <w:shd w:val="clear" w:color="auto" w:fill="auto"/>
        </w:rPr>
        <w:tab/>
      </w:r>
      <w:r>
        <w:rPr>
          <w:rFonts w:hint="eastAsia"/>
          <w:sz w:val="24"/>
          <w:szCs w:val="24"/>
          <w:shd w:val="clear" w:color="auto" w:fill="auto"/>
          <w:lang w:val="en-US" w:eastAsia="zh-CN"/>
        </w:rPr>
        <w:t>5</w:t>
      </w:r>
      <w:r>
        <w:rPr>
          <w:rStyle w:val="20"/>
          <w:sz w:val="24"/>
          <w:szCs w:val="24"/>
          <w:shd w:val="clear" w:color="auto" w:fill="auto"/>
        </w:rPr>
        <w:fldChar w:fldCharType="end"/>
      </w:r>
      <w:r>
        <w:rPr>
          <w:rStyle w:val="20"/>
          <w:rFonts w:hint="eastAsia"/>
          <w:sz w:val="24"/>
          <w:szCs w:val="24"/>
          <w:shd w:val="clear" w:color="auto" w:fill="auto"/>
          <w:lang w:val="en-US" w:eastAsia="zh-CN"/>
        </w:rPr>
        <w:t>2</w:t>
      </w:r>
    </w:p>
    <w:p>
      <w:pPr>
        <w:pStyle w:val="12"/>
        <w:tabs>
          <w:tab w:val="left" w:pos="284"/>
          <w:tab w:val="right" w:leader="dot" w:pos="8302"/>
        </w:tabs>
        <w:rPr>
          <w:rFonts w:hint="eastAsia" w:ascii="等线" w:hAnsi="等线" w:eastAsia="宋体"/>
          <w:b w:val="0"/>
          <w:sz w:val="24"/>
          <w:szCs w:val="24"/>
          <w:shd w:val="clear" w:color="auto" w:fill="auto"/>
          <w:lang w:val="en-US" w:eastAsia="zh-CN"/>
        </w:rPr>
      </w:pPr>
      <w:r>
        <w:rPr>
          <w:rStyle w:val="20"/>
          <w:sz w:val="24"/>
          <w:szCs w:val="24"/>
          <w:shd w:val="clear" w:color="auto" w:fill="auto"/>
        </w:rPr>
        <w:fldChar w:fldCharType="begin"/>
      </w:r>
      <w:r>
        <w:rPr>
          <w:rStyle w:val="20"/>
          <w:sz w:val="24"/>
          <w:szCs w:val="24"/>
          <w:shd w:val="clear" w:color="auto" w:fill="auto"/>
        </w:rPr>
        <w:instrText xml:space="preserve"> </w:instrText>
      </w:r>
      <w:r>
        <w:rPr>
          <w:sz w:val="24"/>
          <w:szCs w:val="24"/>
          <w:shd w:val="clear" w:color="auto" w:fill="auto"/>
        </w:rPr>
        <w:instrText xml:space="preserve">HYPERLINK \l "_Toc204157413"</w:instrText>
      </w:r>
      <w:r>
        <w:rPr>
          <w:rStyle w:val="20"/>
          <w:sz w:val="24"/>
          <w:szCs w:val="24"/>
          <w:shd w:val="clear" w:color="auto" w:fill="auto"/>
        </w:rPr>
        <w:instrText xml:space="preserve"> </w:instrText>
      </w:r>
      <w:r>
        <w:rPr>
          <w:rStyle w:val="20"/>
          <w:sz w:val="24"/>
          <w:szCs w:val="24"/>
          <w:shd w:val="clear" w:color="auto" w:fill="auto"/>
        </w:rPr>
        <w:fldChar w:fldCharType="separate"/>
      </w:r>
      <w:r>
        <w:rPr>
          <w:rStyle w:val="20"/>
          <w:sz w:val="24"/>
          <w:szCs w:val="24"/>
          <w:shd w:val="clear" w:color="auto" w:fill="auto"/>
        </w:rPr>
        <w:t>4</w:t>
      </w:r>
      <w:r>
        <w:rPr>
          <w:rFonts w:ascii="等线" w:hAnsi="等线" w:eastAsia="等线"/>
          <w:b w:val="0"/>
          <w:sz w:val="24"/>
          <w:szCs w:val="24"/>
          <w:shd w:val="clear" w:color="auto" w:fill="auto"/>
        </w:rPr>
        <w:tab/>
      </w:r>
      <w:r>
        <w:rPr>
          <w:rStyle w:val="20"/>
          <w:sz w:val="24"/>
          <w:szCs w:val="24"/>
          <w:shd w:val="clear" w:color="auto" w:fill="auto"/>
        </w:rPr>
        <w:t>安全耐久</w:t>
      </w:r>
      <w:r>
        <w:rPr>
          <w:sz w:val="24"/>
          <w:szCs w:val="24"/>
          <w:shd w:val="clear" w:color="auto" w:fill="auto"/>
        </w:rPr>
        <w:tab/>
      </w:r>
      <w:r>
        <w:rPr>
          <w:rFonts w:hint="eastAsia"/>
          <w:sz w:val="24"/>
          <w:szCs w:val="24"/>
          <w:shd w:val="clear" w:color="auto" w:fill="auto"/>
          <w:lang w:val="en-US" w:eastAsia="zh-CN"/>
        </w:rPr>
        <w:t>5</w:t>
      </w:r>
      <w:r>
        <w:rPr>
          <w:rStyle w:val="20"/>
          <w:sz w:val="24"/>
          <w:szCs w:val="24"/>
          <w:shd w:val="clear" w:color="auto" w:fill="auto"/>
        </w:rPr>
        <w:fldChar w:fldCharType="end"/>
      </w:r>
      <w:r>
        <w:rPr>
          <w:rStyle w:val="20"/>
          <w:rFonts w:hint="eastAsia"/>
          <w:sz w:val="24"/>
          <w:szCs w:val="24"/>
          <w:shd w:val="clear" w:color="auto" w:fill="auto"/>
          <w:lang w:val="en-US" w:eastAsia="zh-CN"/>
        </w:rPr>
        <w:t>4</w:t>
      </w:r>
    </w:p>
    <w:p>
      <w:pPr>
        <w:pStyle w:val="14"/>
        <w:tabs>
          <w:tab w:val="left" w:pos="1050"/>
          <w:tab w:val="right" w:leader="dot" w:pos="8302"/>
        </w:tabs>
        <w:rPr>
          <w:rFonts w:hint="eastAsia" w:ascii="等线" w:hAnsi="等线" w:eastAsia="宋体"/>
          <w:sz w:val="24"/>
          <w:shd w:val="clear" w:color="auto" w:fill="auto"/>
          <w:lang w:val="en-US" w:eastAsia="zh-CN"/>
        </w:rPr>
      </w:pPr>
      <w:r>
        <w:rPr>
          <w:rStyle w:val="20"/>
          <w:sz w:val="24"/>
          <w:shd w:val="clear" w:color="auto" w:fill="auto"/>
        </w:rPr>
        <w:fldChar w:fldCharType="begin"/>
      </w:r>
      <w:r>
        <w:rPr>
          <w:rStyle w:val="20"/>
          <w:sz w:val="24"/>
          <w:shd w:val="clear" w:color="auto" w:fill="auto"/>
        </w:rPr>
        <w:instrText xml:space="preserve"> </w:instrText>
      </w:r>
      <w:r>
        <w:rPr>
          <w:sz w:val="24"/>
          <w:shd w:val="clear" w:color="auto" w:fill="auto"/>
        </w:rPr>
        <w:instrText xml:space="preserve">HYPERLINK \l "_Toc204157415"</w:instrText>
      </w:r>
      <w:r>
        <w:rPr>
          <w:rStyle w:val="20"/>
          <w:sz w:val="24"/>
          <w:shd w:val="clear" w:color="auto" w:fill="auto"/>
        </w:rPr>
        <w:instrText xml:space="preserve"> </w:instrText>
      </w:r>
      <w:r>
        <w:rPr>
          <w:rStyle w:val="20"/>
          <w:sz w:val="24"/>
          <w:shd w:val="clear" w:color="auto" w:fill="auto"/>
        </w:rPr>
        <w:fldChar w:fldCharType="separate"/>
      </w:r>
      <w:r>
        <w:rPr>
          <w:rStyle w:val="20"/>
          <w:sz w:val="24"/>
          <w:shd w:val="clear" w:color="auto" w:fill="auto"/>
        </w:rPr>
        <w:t>4.2</w:t>
      </w:r>
      <w:r>
        <w:rPr>
          <w:rFonts w:ascii="等线" w:hAnsi="等线" w:eastAsia="等线"/>
          <w:sz w:val="24"/>
          <w:shd w:val="clear" w:color="auto" w:fill="auto"/>
        </w:rPr>
        <w:tab/>
      </w:r>
      <w:r>
        <w:rPr>
          <w:rStyle w:val="20"/>
          <w:sz w:val="24"/>
          <w:shd w:val="clear" w:color="auto" w:fill="auto"/>
        </w:rPr>
        <w:t>安全</w:t>
      </w:r>
      <w:r>
        <w:rPr>
          <w:sz w:val="24"/>
          <w:shd w:val="clear" w:color="auto" w:fill="auto"/>
        </w:rPr>
        <w:tab/>
      </w:r>
      <w:r>
        <w:rPr>
          <w:rFonts w:hint="eastAsia"/>
          <w:sz w:val="24"/>
          <w:shd w:val="clear" w:color="auto" w:fill="auto"/>
          <w:lang w:val="en-US" w:eastAsia="zh-CN"/>
        </w:rPr>
        <w:t>5</w:t>
      </w:r>
      <w:r>
        <w:rPr>
          <w:rStyle w:val="20"/>
          <w:sz w:val="24"/>
          <w:shd w:val="clear" w:color="auto" w:fill="auto"/>
        </w:rPr>
        <w:fldChar w:fldCharType="end"/>
      </w:r>
      <w:r>
        <w:rPr>
          <w:rStyle w:val="20"/>
          <w:rFonts w:hint="eastAsia"/>
          <w:sz w:val="24"/>
          <w:shd w:val="clear" w:color="auto" w:fill="auto"/>
          <w:lang w:val="en-US" w:eastAsia="zh-CN"/>
        </w:rPr>
        <w:t>4</w:t>
      </w:r>
    </w:p>
    <w:p>
      <w:pPr>
        <w:pStyle w:val="14"/>
        <w:tabs>
          <w:tab w:val="left" w:pos="1050"/>
          <w:tab w:val="right" w:leader="dot" w:pos="8302"/>
        </w:tabs>
        <w:rPr>
          <w:rFonts w:hint="eastAsia" w:ascii="等线" w:hAnsi="等线" w:eastAsia="宋体"/>
          <w:sz w:val="24"/>
          <w:shd w:val="clear" w:color="auto" w:fill="auto"/>
          <w:lang w:val="en-US" w:eastAsia="zh-CN"/>
        </w:rPr>
      </w:pPr>
      <w:r>
        <w:rPr>
          <w:rStyle w:val="20"/>
          <w:sz w:val="24"/>
          <w:shd w:val="clear" w:color="auto" w:fill="auto"/>
        </w:rPr>
        <w:fldChar w:fldCharType="begin"/>
      </w:r>
      <w:r>
        <w:rPr>
          <w:rStyle w:val="20"/>
          <w:sz w:val="24"/>
          <w:shd w:val="clear" w:color="auto" w:fill="auto"/>
        </w:rPr>
        <w:instrText xml:space="preserve"> </w:instrText>
      </w:r>
      <w:r>
        <w:rPr>
          <w:sz w:val="24"/>
          <w:shd w:val="clear" w:color="auto" w:fill="auto"/>
        </w:rPr>
        <w:instrText xml:space="preserve">HYPERLINK \l "_Toc204157416"</w:instrText>
      </w:r>
      <w:r>
        <w:rPr>
          <w:rStyle w:val="20"/>
          <w:sz w:val="24"/>
          <w:shd w:val="clear" w:color="auto" w:fill="auto"/>
        </w:rPr>
        <w:instrText xml:space="preserve"> </w:instrText>
      </w:r>
      <w:r>
        <w:rPr>
          <w:rStyle w:val="20"/>
          <w:sz w:val="24"/>
          <w:shd w:val="clear" w:color="auto" w:fill="auto"/>
        </w:rPr>
        <w:fldChar w:fldCharType="separate"/>
      </w:r>
      <w:r>
        <w:rPr>
          <w:rStyle w:val="20"/>
          <w:sz w:val="24"/>
          <w:shd w:val="clear" w:color="auto" w:fill="auto"/>
        </w:rPr>
        <w:t>4.3</w:t>
      </w:r>
      <w:r>
        <w:rPr>
          <w:rFonts w:ascii="等线" w:hAnsi="等线" w:eastAsia="等线"/>
          <w:sz w:val="24"/>
          <w:shd w:val="clear" w:color="auto" w:fill="auto"/>
        </w:rPr>
        <w:tab/>
      </w:r>
      <w:r>
        <w:rPr>
          <w:rStyle w:val="20"/>
          <w:sz w:val="24"/>
          <w:shd w:val="clear" w:color="auto" w:fill="auto"/>
        </w:rPr>
        <w:t>耐久</w:t>
      </w:r>
      <w:r>
        <w:rPr>
          <w:sz w:val="24"/>
          <w:shd w:val="clear" w:color="auto" w:fill="auto"/>
        </w:rPr>
        <w:tab/>
      </w:r>
      <w:r>
        <w:rPr>
          <w:rFonts w:hint="eastAsia"/>
          <w:sz w:val="24"/>
          <w:shd w:val="clear" w:color="auto" w:fill="auto"/>
          <w:lang w:val="en-US" w:eastAsia="zh-CN"/>
        </w:rPr>
        <w:t>5</w:t>
      </w:r>
      <w:r>
        <w:rPr>
          <w:rStyle w:val="20"/>
          <w:sz w:val="24"/>
          <w:shd w:val="clear" w:color="auto" w:fill="auto"/>
        </w:rPr>
        <w:fldChar w:fldCharType="end"/>
      </w:r>
      <w:r>
        <w:rPr>
          <w:rStyle w:val="20"/>
          <w:rFonts w:hint="eastAsia"/>
          <w:sz w:val="24"/>
          <w:shd w:val="clear" w:color="auto" w:fill="auto"/>
          <w:lang w:val="en-US" w:eastAsia="zh-CN"/>
        </w:rPr>
        <w:t>6</w:t>
      </w:r>
    </w:p>
    <w:p>
      <w:pPr>
        <w:pStyle w:val="12"/>
        <w:tabs>
          <w:tab w:val="left" w:pos="284"/>
          <w:tab w:val="right" w:leader="dot" w:pos="8302"/>
        </w:tabs>
        <w:rPr>
          <w:rFonts w:hint="eastAsia" w:ascii="等线" w:hAnsi="等线" w:eastAsia="宋体"/>
          <w:b w:val="0"/>
          <w:sz w:val="24"/>
          <w:szCs w:val="24"/>
          <w:shd w:val="clear" w:color="auto" w:fill="auto"/>
          <w:lang w:val="en-US" w:eastAsia="zh-CN"/>
        </w:rPr>
      </w:pPr>
      <w:r>
        <w:rPr>
          <w:rStyle w:val="20"/>
          <w:sz w:val="24"/>
          <w:szCs w:val="24"/>
          <w:shd w:val="clear" w:color="auto" w:fill="auto"/>
        </w:rPr>
        <w:fldChar w:fldCharType="begin"/>
      </w:r>
      <w:r>
        <w:rPr>
          <w:rStyle w:val="20"/>
          <w:sz w:val="24"/>
          <w:szCs w:val="24"/>
          <w:shd w:val="clear" w:color="auto" w:fill="auto"/>
        </w:rPr>
        <w:instrText xml:space="preserve"> </w:instrText>
      </w:r>
      <w:r>
        <w:rPr>
          <w:sz w:val="24"/>
          <w:szCs w:val="24"/>
          <w:shd w:val="clear" w:color="auto" w:fill="auto"/>
        </w:rPr>
        <w:instrText xml:space="preserve">HYPERLINK \l "_Toc204157417"</w:instrText>
      </w:r>
      <w:r>
        <w:rPr>
          <w:rStyle w:val="20"/>
          <w:sz w:val="24"/>
          <w:szCs w:val="24"/>
          <w:shd w:val="clear" w:color="auto" w:fill="auto"/>
        </w:rPr>
        <w:instrText xml:space="preserve"> </w:instrText>
      </w:r>
      <w:r>
        <w:rPr>
          <w:rStyle w:val="20"/>
          <w:sz w:val="24"/>
          <w:szCs w:val="24"/>
          <w:shd w:val="clear" w:color="auto" w:fill="auto"/>
        </w:rPr>
        <w:fldChar w:fldCharType="separate"/>
      </w:r>
      <w:r>
        <w:rPr>
          <w:rStyle w:val="20"/>
          <w:sz w:val="24"/>
          <w:szCs w:val="24"/>
          <w:shd w:val="clear" w:color="auto" w:fill="auto"/>
        </w:rPr>
        <w:t>5</w:t>
      </w:r>
      <w:r>
        <w:rPr>
          <w:rFonts w:ascii="等线" w:hAnsi="等线" w:eastAsia="等线"/>
          <w:b w:val="0"/>
          <w:sz w:val="24"/>
          <w:szCs w:val="24"/>
          <w:shd w:val="clear" w:color="auto" w:fill="auto"/>
        </w:rPr>
        <w:tab/>
      </w:r>
      <w:r>
        <w:rPr>
          <w:rStyle w:val="20"/>
          <w:sz w:val="24"/>
          <w:szCs w:val="24"/>
          <w:shd w:val="clear" w:color="auto" w:fill="auto"/>
        </w:rPr>
        <w:t>健康舒适</w:t>
      </w:r>
      <w:r>
        <w:rPr>
          <w:sz w:val="24"/>
          <w:szCs w:val="24"/>
          <w:shd w:val="clear" w:color="auto" w:fill="auto"/>
        </w:rPr>
        <w:tab/>
      </w:r>
      <w:r>
        <w:rPr>
          <w:rFonts w:hint="eastAsia"/>
          <w:sz w:val="24"/>
          <w:szCs w:val="24"/>
          <w:shd w:val="clear" w:color="auto" w:fill="auto"/>
          <w:lang w:val="en-US" w:eastAsia="zh-CN"/>
        </w:rPr>
        <w:t>5</w:t>
      </w:r>
      <w:r>
        <w:rPr>
          <w:rStyle w:val="20"/>
          <w:sz w:val="24"/>
          <w:szCs w:val="24"/>
          <w:shd w:val="clear" w:color="auto" w:fill="auto"/>
        </w:rPr>
        <w:fldChar w:fldCharType="end"/>
      </w:r>
      <w:r>
        <w:rPr>
          <w:rStyle w:val="20"/>
          <w:rFonts w:hint="eastAsia"/>
          <w:sz w:val="24"/>
          <w:szCs w:val="24"/>
          <w:shd w:val="clear" w:color="auto" w:fill="auto"/>
          <w:lang w:val="en-US" w:eastAsia="zh-CN"/>
        </w:rPr>
        <w:t>7</w:t>
      </w:r>
    </w:p>
    <w:p>
      <w:pPr>
        <w:pStyle w:val="14"/>
        <w:tabs>
          <w:tab w:val="right" w:leader="dot" w:pos="8302"/>
        </w:tabs>
        <w:rPr>
          <w:rFonts w:hint="eastAsia" w:ascii="等线" w:hAnsi="等线" w:eastAsia="宋体"/>
          <w:sz w:val="24"/>
          <w:shd w:val="clear" w:color="auto" w:fill="auto"/>
          <w:lang w:val="en-US" w:eastAsia="zh-CN"/>
        </w:rPr>
      </w:pPr>
      <w:r>
        <w:rPr>
          <w:rStyle w:val="20"/>
          <w:sz w:val="24"/>
          <w:shd w:val="clear" w:color="auto" w:fill="auto"/>
        </w:rPr>
        <w:fldChar w:fldCharType="begin"/>
      </w:r>
      <w:r>
        <w:rPr>
          <w:rStyle w:val="20"/>
          <w:sz w:val="24"/>
          <w:shd w:val="clear" w:color="auto" w:fill="auto"/>
        </w:rPr>
        <w:instrText xml:space="preserve"> </w:instrText>
      </w:r>
      <w:r>
        <w:rPr>
          <w:sz w:val="24"/>
          <w:shd w:val="clear" w:color="auto" w:fill="auto"/>
        </w:rPr>
        <w:instrText xml:space="preserve">HYPERLINK \l "_Toc204157418"</w:instrText>
      </w:r>
      <w:r>
        <w:rPr>
          <w:rStyle w:val="20"/>
          <w:sz w:val="24"/>
          <w:shd w:val="clear" w:color="auto" w:fill="auto"/>
        </w:rPr>
        <w:instrText xml:space="preserve"> </w:instrText>
      </w:r>
      <w:r>
        <w:rPr>
          <w:rStyle w:val="20"/>
          <w:sz w:val="24"/>
          <w:shd w:val="clear" w:color="auto" w:fill="auto"/>
        </w:rPr>
        <w:fldChar w:fldCharType="separate"/>
      </w:r>
      <w:r>
        <w:rPr>
          <w:rStyle w:val="20"/>
          <w:sz w:val="24"/>
          <w:shd w:val="clear" w:color="auto" w:fill="auto"/>
          <w:lang w:eastAsia="zh"/>
        </w:rPr>
        <w:t>5.1</w:t>
      </w:r>
      <w:r>
        <w:rPr>
          <w:rStyle w:val="20"/>
          <w:sz w:val="24"/>
          <w:shd w:val="clear" w:color="auto" w:fill="auto"/>
        </w:rPr>
        <w:t>室内声环境</w:t>
      </w:r>
      <w:r>
        <w:rPr>
          <w:sz w:val="24"/>
          <w:shd w:val="clear" w:color="auto" w:fill="auto"/>
        </w:rPr>
        <w:tab/>
      </w:r>
      <w:r>
        <w:rPr>
          <w:rFonts w:hint="eastAsia"/>
          <w:sz w:val="24"/>
          <w:shd w:val="clear" w:color="auto" w:fill="auto"/>
          <w:lang w:val="en-US" w:eastAsia="zh-CN"/>
        </w:rPr>
        <w:t>5</w:t>
      </w:r>
      <w:r>
        <w:rPr>
          <w:rStyle w:val="20"/>
          <w:sz w:val="24"/>
          <w:shd w:val="clear" w:color="auto" w:fill="auto"/>
        </w:rPr>
        <w:fldChar w:fldCharType="end"/>
      </w:r>
      <w:r>
        <w:rPr>
          <w:rStyle w:val="20"/>
          <w:rFonts w:hint="eastAsia"/>
          <w:sz w:val="24"/>
          <w:shd w:val="clear" w:color="auto" w:fill="auto"/>
          <w:lang w:val="en-US" w:eastAsia="zh-CN"/>
        </w:rPr>
        <w:t>7</w:t>
      </w:r>
    </w:p>
    <w:p>
      <w:pPr>
        <w:pStyle w:val="14"/>
        <w:tabs>
          <w:tab w:val="left" w:pos="1050"/>
          <w:tab w:val="right" w:leader="dot" w:pos="8302"/>
        </w:tabs>
        <w:rPr>
          <w:rFonts w:hint="eastAsia" w:ascii="等线" w:hAnsi="等线" w:eastAsia="宋体"/>
          <w:sz w:val="24"/>
          <w:shd w:val="clear" w:color="auto" w:fill="auto"/>
          <w:lang w:val="en-US" w:eastAsia="zh-CN"/>
        </w:rPr>
      </w:pPr>
      <w:r>
        <w:rPr>
          <w:rStyle w:val="20"/>
          <w:sz w:val="24"/>
          <w:shd w:val="clear" w:color="auto" w:fill="auto"/>
        </w:rPr>
        <w:fldChar w:fldCharType="begin"/>
      </w:r>
      <w:r>
        <w:rPr>
          <w:rStyle w:val="20"/>
          <w:sz w:val="24"/>
          <w:shd w:val="clear" w:color="auto" w:fill="auto"/>
        </w:rPr>
        <w:instrText xml:space="preserve"> </w:instrText>
      </w:r>
      <w:r>
        <w:rPr>
          <w:sz w:val="24"/>
          <w:shd w:val="clear" w:color="auto" w:fill="auto"/>
        </w:rPr>
        <w:instrText xml:space="preserve">HYPERLINK \l "_Toc204157419"</w:instrText>
      </w:r>
      <w:r>
        <w:rPr>
          <w:rStyle w:val="20"/>
          <w:sz w:val="24"/>
          <w:shd w:val="clear" w:color="auto" w:fill="auto"/>
        </w:rPr>
        <w:instrText xml:space="preserve"> </w:instrText>
      </w:r>
      <w:r>
        <w:rPr>
          <w:rStyle w:val="20"/>
          <w:sz w:val="24"/>
          <w:shd w:val="clear" w:color="auto" w:fill="auto"/>
        </w:rPr>
        <w:fldChar w:fldCharType="separate"/>
      </w:r>
      <w:r>
        <w:rPr>
          <w:rStyle w:val="20"/>
          <w:sz w:val="24"/>
          <w:shd w:val="clear" w:color="auto" w:fill="auto"/>
        </w:rPr>
        <w:t>5.2</w:t>
      </w:r>
      <w:r>
        <w:rPr>
          <w:rFonts w:ascii="等线" w:hAnsi="等线" w:eastAsia="等线"/>
          <w:sz w:val="24"/>
          <w:shd w:val="clear" w:color="auto" w:fill="auto"/>
        </w:rPr>
        <w:tab/>
      </w:r>
      <w:r>
        <w:rPr>
          <w:rStyle w:val="20"/>
          <w:sz w:val="24"/>
          <w:shd w:val="clear" w:color="auto" w:fill="auto"/>
        </w:rPr>
        <w:t>室内光环境</w:t>
      </w:r>
      <w:r>
        <w:rPr>
          <w:sz w:val="24"/>
          <w:shd w:val="clear" w:color="auto" w:fill="auto"/>
        </w:rPr>
        <w:tab/>
      </w:r>
      <w:r>
        <w:rPr>
          <w:rFonts w:hint="eastAsia"/>
          <w:sz w:val="24"/>
          <w:shd w:val="clear" w:color="auto" w:fill="auto"/>
          <w:lang w:val="en-US" w:eastAsia="zh-CN"/>
        </w:rPr>
        <w:t>5</w:t>
      </w:r>
      <w:r>
        <w:rPr>
          <w:rStyle w:val="20"/>
          <w:sz w:val="24"/>
          <w:shd w:val="clear" w:color="auto" w:fill="auto"/>
        </w:rPr>
        <w:fldChar w:fldCharType="end"/>
      </w:r>
      <w:r>
        <w:rPr>
          <w:rStyle w:val="20"/>
          <w:rFonts w:hint="eastAsia"/>
          <w:sz w:val="24"/>
          <w:shd w:val="clear" w:color="auto" w:fill="auto"/>
          <w:lang w:val="en-US" w:eastAsia="zh-CN"/>
        </w:rPr>
        <w:t>7</w:t>
      </w:r>
    </w:p>
    <w:p>
      <w:pPr>
        <w:pStyle w:val="14"/>
        <w:tabs>
          <w:tab w:val="left" w:pos="1050"/>
          <w:tab w:val="right" w:leader="dot" w:pos="8302"/>
        </w:tabs>
        <w:rPr>
          <w:rFonts w:hint="eastAsia" w:ascii="等线" w:hAnsi="等线" w:eastAsia="宋体"/>
          <w:sz w:val="24"/>
          <w:shd w:val="clear" w:color="auto" w:fill="auto"/>
          <w:lang w:val="en-US" w:eastAsia="zh-CN"/>
        </w:rPr>
      </w:pPr>
      <w:r>
        <w:rPr>
          <w:rStyle w:val="20"/>
          <w:sz w:val="24"/>
          <w:shd w:val="clear" w:color="auto" w:fill="auto"/>
        </w:rPr>
        <w:fldChar w:fldCharType="begin"/>
      </w:r>
      <w:r>
        <w:rPr>
          <w:rStyle w:val="20"/>
          <w:sz w:val="24"/>
          <w:shd w:val="clear" w:color="auto" w:fill="auto"/>
        </w:rPr>
        <w:instrText xml:space="preserve"> </w:instrText>
      </w:r>
      <w:r>
        <w:rPr>
          <w:sz w:val="24"/>
          <w:shd w:val="clear" w:color="auto" w:fill="auto"/>
        </w:rPr>
        <w:instrText xml:space="preserve">HYPERLINK \l "_Toc204157420"</w:instrText>
      </w:r>
      <w:r>
        <w:rPr>
          <w:rStyle w:val="20"/>
          <w:sz w:val="24"/>
          <w:shd w:val="clear" w:color="auto" w:fill="auto"/>
        </w:rPr>
        <w:instrText xml:space="preserve"> </w:instrText>
      </w:r>
      <w:r>
        <w:rPr>
          <w:rStyle w:val="20"/>
          <w:sz w:val="24"/>
          <w:shd w:val="clear" w:color="auto" w:fill="auto"/>
        </w:rPr>
        <w:fldChar w:fldCharType="separate"/>
      </w:r>
      <w:r>
        <w:rPr>
          <w:rStyle w:val="20"/>
          <w:sz w:val="24"/>
          <w:shd w:val="clear" w:color="auto" w:fill="auto"/>
        </w:rPr>
        <w:t>5.3</w:t>
      </w:r>
      <w:r>
        <w:rPr>
          <w:rFonts w:ascii="等线" w:hAnsi="等线" w:eastAsia="等线"/>
          <w:sz w:val="24"/>
          <w:shd w:val="clear" w:color="auto" w:fill="auto"/>
        </w:rPr>
        <w:tab/>
      </w:r>
      <w:r>
        <w:rPr>
          <w:rStyle w:val="20"/>
          <w:sz w:val="24"/>
          <w:shd w:val="clear" w:color="auto" w:fill="auto"/>
        </w:rPr>
        <w:t>室内热湿环境</w:t>
      </w:r>
      <w:r>
        <w:rPr>
          <w:sz w:val="24"/>
          <w:shd w:val="clear" w:color="auto" w:fill="auto"/>
        </w:rPr>
        <w:tab/>
      </w:r>
      <w:r>
        <w:rPr>
          <w:rFonts w:hint="eastAsia"/>
          <w:sz w:val="24"/>
          <w:shd w:val="clear" w:color="auto" w:fill="auto"/>
          <w:lang w:val="en-US" w:eastAsia="zh-CN"/>
        </w:rPr>
        <w:t>5</w:t>
      </w:r>
      <w:r>
        <w:rPr>
          <w:rStyle w:val="20"/>
          <w:sz w:val="24"/>
          <w:shd w:val="clear" w:color="auto" w:fill="auto"/>
        </w:rPr>
        <w:fldChar w:fldCharType="end"/>
      </w:r>
      <w:r>
        <w:rPr>
          <w:rStyle w:val="20"/>
          <w:rFonts w:hint="eastAsia"/>
          <w:sz w:val="24"/>
          <w:shd w:val="clear" w:color="auto" w:fill="auto"/>
          <w:lang w:val="en-US" w:eastAsia="zh-CN"/>
        </w:rPr>
        <w:t>7</w:t>
      </w:r>
    </w:p>
    <w:p>
      <w:pPr>
        <w:pStyle w:val="14"/>
        <w:tabs>
          <w:tab w:val="left" w:pos="1050"/>
          <w:tab w:val="right" w:leader="dot" w:pos="8302"/>
        </w:tabs>
        <w:rPr>
          <w:rFonts w:hint="eastAsia" w:ascii="等线" w:hAnsi="等线" w:eastAsia="宋体"/>
          <w:sz w:val="24"/>
          <w:shd w:val="clear" w:color="auto" w:fill="auto"/>
          <w:lang w:val="en-US" w:eastAsia="zh-CN"/>
        </w:rPr>
      </w:pPr>
      <w:r>
        <w:rPr>
          <w:rStyle w:val="20"/>
          <w:sz w:val="24"/>
          <w:shd w:val="clear" w:color="auto" w:fill="auto"/>
        </w:rPr>
        <w:fldChar w:fldCharType="begin"/>
      </w:r>
      <w:r>
        <w:rPr>
          <w:rStyle w:val="20"/>
          <w:sz w:val="24"/>
          <w:shd w:val="clear" w:color="auto" w:fill="auto"/>
        </w:rPr>
        <w:instrText xml:space="preserve"> </w:instrText>
      </w:r>
      <w:r>
        <w:rPr>
          <w:sz w:val="24"/>
          <w:shd w:val="clear" w:color="auto" w:fill="auto"/>
        </w:rPr>
        <w:instrText xml:space="preserve">HYPERLINK \l "_Toc204157421"</w:instrText>
      </w:r>
      <w:r>
        <w:rPr>
          <w:rStyle w:val="20"/>
          <w:sz w:val="24"/>
          <w:shd w:val="clear" w:color="auto" w:fill="auto"/>
        </w:rPr>
        <w:instrText xml:space="preserve"> </w:instrText>
      </w:r>
      <w:r>
        <w:rPr>
          <w:rStyle w:val="20"/>
          <w:sz w:val="24"/>
          <w:shd w:val="clear" w:color="auto" w:fill="auto"/>
        </w:rPr>
        <w:fldChar w:fldCharType="separate"/>
      </w:r>
      <w:r>
        <w:rPr>
          <w:rStyle w:val="20"/>
          <w:sz w:val="24"/>
          <w:shd w:val="clear" w:color="auto" w:fill="auto"/>
        </w:rPr>
        <w:t>5.4</w:t>
      </w:r>
      <w:r>
        <w:rPr>
          <w:rFonts w:ascii="等线" w:hAnsi="等线" w:eastAsia="等线"/>
          <w:sz w:val="24"/>
          <w:shd w:val="clear" w:color="auto" w:fill="auto"/>
        </w:rPr>
        <w:tab/>
      </w:r>
      <w:r>
        <w:rPr>
          <w:rStyle w:val="20"/>
          <w:sz w:val="24"/>
          <w:shd w:val="clear" w:color="auto" w:fill="auto"/>
        </w:rPr>
        <w:t>室内空气质量</w:t>
      </w:r>
      <w:r>
        <w:rPr>
          <w:sz w:val="24"/>
          <w:shd w:val="clear" w:color="auto" w:fill="auto"/>
        </w:rPr>
        <w:tab/>
      </w:r>
      <w:r>
        <w:rPr>
          <w:rFonts w:hint="eastAsia"/>
          <w:sz w:val="24"/>
          <w:shd w:val="clear" w:color="auto" w:fill="auto"/>
          <w:lang w:val="en-US" w:eastAsia="zh-CN"/>
        </w:rPr>
        <w:t>5</w:t>
      </w:r>
      <w:r>
        <w:rPr>
          <w:rStyle w:val="20"/>
          <w:sz w:val="24"/>
          <w:shd w:val="clear" w:color="auto" w:fill="auto"/>
        </w:rPr>
        <w:fldChar w:fldCharType="end"/>
      </w:r>
      <w:r>
        <w:rPr>
          <w:rStyle w:val="20"/>
          <w:rFonts w:hint="eastAsia"/>
          <w:sz w:val="24"/>
          <w:shd w:val="clear" w:color="auto" w:fill="auto"/>
          <w:lang w:val="en-US" w:eastAsia="zh-CN"/>
        </w:rPr>
        <w:t>8</w:t>
      </w:r>
    </w:p>
    <w:p>
      <w:pPr>
        <w:pStyle w:val="14"/>
        <w:tabs>
          <w:tab w:val="left" w:pos="1050"/>
          <w:tab w:val="right" w:leader="dot" w:pos="8302"/>
        </w:tabs>
        <w:rPr>
          <w:rFonts w:hint="eastAsia" w:ascii="等线" w:hAnsi="等线" w:eastAsia="宋体"/>
          <w:sz w:val="24"/>
          <w:shd w:val="clear" w:color="auto" w:fill="auto"/>
          <w:lang w:val="en-US" w:eastAsia="zh-CN"/>
        </w:rPr>
      </w:pPr>
      <w:r>
        <w:rPr>
          <w:rStyle w:val="20"/>
          <w:sz w:val="24"/>
          <w:shd w:val="clear" w:color="auto" w:fill="auto"/>
        </w:rPr>
        <w:fldChar w:fldCharType="begin"/>
      </w:r>
      <w:r>
        <w:rPr>
          <w:rStyle w:val="20"/>
          <w:sz w:val="24"/>
          <w:shd w:val="clear" w:color="auto" w:fill="auto"/>
        </w:rPr>
        <w:instrText xml:space="preserve"> </w:instrText>
      </w:r>
      <w:r>
        <w:rPr>
          <w:sz w:val="24"/>
          <w:shd w:val="clear" w:color="auto" w:fill="auto"/>
        </w:rPr>
        <w:instrText xml:space="preserve">HYPERLINK \l "_Toc204157422"</w:instrText>
      </w:r>
      <w:r>
        <w:rPr>
          <w:rStyle w:val="20"/>
          <w:sz w:val="24"/>
          <w:shd w:val="clear" w:color="auto" w:fill="auto"/>
        </w:rPr>
        <w:instrText xml:space="preserve"> </w:instrText>
      </w:r>
      <w:r>
        <w:rPr>
          <w:rStyle w:val="20"/>
          <w:sz w:val="24"/>
          <w:shd w:val="clear" w:color="auto" w:fill="auto"/>
        </w:rPr>
        <w:fldChar w:fldCharType="separate"/>
      </w:r>
      <w:r>
        <w:rPr>
          <w:rStyle w:val="20"/>
          <w:sz w:val="24"/>
          <w:shd w:val="clear" w:color="auto" w:fill="auto"/>
        </w:rPr>
        <w:t>5.5</w:t>
      </w:r>
      <w:r>
        <w:rPr>
          <w:rFonts w:ascii="等线" w:hAnsi="等线" w:eastAsia="等线"/>
          <w:sz w:val="24"/>
          <w:shd w:val="clear" w:color="auto" w:fill="auto"/>
        </w:rPr>
        <w:tab/>
      </w:r>
      <w:r>
        <w:rPr>
          <w:rStyle w:val="20"/>
          <w:sz w:val="24"/>
          <w:shd w:val="clear" w:color="auto" w:fill="auto"/>
        </w:rPr>
        <w:t>水质</w:t>
      </w:r>
      <w:r>
        <w:rPr>
          <w:sz w:val="24"/>
          <w:shd w:val="clear" w:color="auto" w:fill="auto"/>
        </w:rPr>
        <w:tab/>
      </w:r>
      <w:r>
        <w:rPr>
          <w:rFonts w:hint="eastAsia"/>
          <w:sz w:val="24"/>
          <w:shd w:val="clear" w:color="auto" w:fill="auto"/>
          <w:lang w:val="en-US" w:eastAsia="zh-CN"/>
        </w:rPr>
        <w:t>5</w:t>
      </w:r>
      <w:r>
        <w:rPr>
          <w:rStyle w:val="20"/>
          <w:sz w:val="24"/>
          <w:shd w:val="clear" w:color="auto" w:fill="auto"/>
        </w:rPr>
        <w:fldChar w:fldCharType="end"/>
      </w:r>
      <w:r>
        <w:rPr>
          <w:rStyle w:val="20"/>
          <w:rFonts w:hint="eastAsia"/>
          <w:sz w:val="24"/>
          <w:shd w:val="clear" w:color="auto" w:fill="auto"/>
          <w:lang w:val="en-US" w:eastAsia="zh-CN"/>
        </w:rPr>
        <w:t>8</w:t>
      </w:r>
    </w:p>
    <w:p>
      <w:pPr>
        <w:pStyle w:val="12"/>
        <w:tabs>
          <w:tab w:val="left" w:pos="284"/>
          <w:tab w:val="right" w:leader="dot" w:pos="8302"/>
        </w:tabs>
        <w:rPr>
          <w:rFonts w:hint="eastAsia" w:ascii="等线" w:hAnsi="等线" w:eastAsia="宋体"/>
          <w:b w:val="0"/>
          <w:sz w:val="24"/>
          <w:szCs w:val="24"/>
          <w:shd w:val="clear" w:color="auto" w:fill="auto"/>
          <w:lang w:val="en-US" w:eastAsia="zh-CN"/>
        </w:rPr>
      </w:pPr>
      <w:r>
        <w:rPr>
          <w:rStyle w:val="20"/>
          <w:sz w:val="24"/>
          <w:szCs w:val="24"/>
          <w:shd w:val="clear" w:color="auto" w:fill="auto"/>
        </w:rPr>
        <w:fldChar w:fldCharType="begin"/>
      </w:r>
      <w:r>
        <w:rPr>
          <w:rStyle w:val="20"/>
          <w:sz w:val="24"/>
          <w:szCs w:val="24"/>
          <w:shd w:val="clear" w:color="auto" w:fill="auto"/>
        </w:rPr>
        <w:instrText xml:space="preserve"> </w:instrText>
      </w:r>
      <w:r>
        <w:rPr>
          <w:sz w:val="24"/>
          <w:szCs w:val="24"/>
          <w:shd w:val="clear" w:color="auto" w:fill="auto"/>
        </w:rPr>
        <w:instrText xml:space="preserve">HYPERLINK \l "_Toc204157423"</w:instrText>
      </w:r>
      <w:r>
        <w:rPr>
          <w:rStyle w:val="20"/>
          <w:sz w:val="24"/>
          <w:szCs w:val="24"/>
          <w:shd w:val="clear" w:color="auto" w:fill="auto"/>
        </w:rPr>
        <w:instrText xml:space="preserve"> </w:instrText>
      </w:r>
      <w:r>
        <w:rPr>
          <w:rStyle w:val="20"/>
          <w:sz w:val="24"/>
          <w:szCs w:val="24"/>
          <w:shd w:val="clear" w:color="auto" w:fill="auto"/>
        </w:rPr>
        <w:fldChar w:fldCharType="separate"/>
      </w:r>
      <w:r>
        <w:rPr>
          <w:rStyle w:val="20"/>
          <w:sz w:val="24"/>
          <w:szCs w:val="24"/>
          <w:shd w:val="clear" w:color="auto" w:fill="auto"/>
        </w:rPr>
        <w:t>6</w:t>
      </w:r>
      <w:r>
        <w:rPr>
          <w:rFonts w:ascii="等线" w:hAnsi="等线" w:eastAsia="等线"/>
          <w:b w:val="0"/>
          <w:sz w:val="24"/>
          <w:szCs w:val="24"/>
          <w:shd w:val="clear" w:color="auto" w:fill="auto"/>
        </w:rPr>
        <w:tab/>
      </w:r>
      <w:r>
        <w:rPr>
          <w:rStyle w:val="20"/>
          <w:sz w:val="24"/>
          <w:szCs w:val="24"/>
          <w:shd w:val="clear" w:color="auto" w:fill="auto"/>
        </w:rPr>
        <w:t>生活便利</w:t>
      </w:r>
      <w:r>
        <w:rPr>
          <w:sz w:val="24"/>
          <w:szCs w:val="24"/>
          <w:shd w:val="clear" w:color="auto" w:fill="auto"/>
        </w:rPr>
        <w:tab/>
      </w:r>
      <w:r>
        <w:rPr>
          <w:rFonts w:hint="eastAsia"/>
          <w:sz w:val="24"/>
          <w:szCs w:val="24"/>
          <w:shd w:val="clear" w:color="auto" w:fill="auto"/>
          <w:lang w:val="en-US" w:eastAsia="zh-CN"/>
        </w:rPr>
        <w:t>5</w:t>
      </w:r>
      <w:r>
        <w:rPr>
          <w:rStyle w:val="20"/>
          <w:sz w:val="24"/>
          <w:szCs w:val="24"/>
          <w:shd w:val="clear" w:color="auto" w:fill="auto"/>
        </w:rPr>
        <w:fldChar w:fldCharType="end"/>
      </w:r>
      <w:r>
        <w:rPr>
          <w:rStyle w:val="20"/>
          <w:rFonts w:hint="eastAsia"/>
          <w:sz w:val="24"/>
          <w:szCs w:val="24"/>
          <w:shd w:val="clear" w:color="auto" w:fill="auto"/>
          <w:lang w:val="en-US" w:eastAsia="zh-CN"/>
        </w:rPr>
        <w:t>9</w:t>
      </w:r>
    </w:p>
    <w:p>
      <w:pPr>
        <w:pStyle w:val="14"/>
        <w:tabs>
          <w:tab w:val="left" w:pos="1050"/>
          <w:tab w:val="right" w:leader="dot" w:pos="8302"/>
        </w:tabs>
        <w:rPr>
          <w:rFonts w:hint="eastAsia" w:ascii="等线" w:hAnsi="等线" w:eastAsia="宋体"/>
          <w:sz w:val="24"/>
          <w:shd w:val="clear" w:color="auto" w:fill="auto"/>
          <w:lang w:val="en-US" w:eastAsia="zh-CN"/>
        </w:rPr>
      </w:pPr>
      <w:r>
        <w:rPr>
          <w:rStyle w:val="20"/>
          <w:sz w:val="24"/>
          <w:shd w:val="clear" w:color="auto" w:fill="auto"/>
        </w:rPr>
        <w:fldChar w:fldCharType="begin"/>
      </w:r>
      <w:r>
        <w:rPr>
          <w:rStyle w:val="20"/>
          <w:sz w:val="24"/>
          <w:shd w:val="clear" w:color="auto" w:fill="auto"/>
        </w:rPr>
        <w:instrText xml:space="preserve"> </w:instrText>
      </w:r>
      <w:r>
        <w:rPr>
          <w:sz w:val="24"/>
          <w:shd w:val="clear" w:color="auto" w:fill="auto"/>
        </w:rPr>
        <w:instrText xml:space="preserve">HYPERLINK \l "_Toc204157424"</w:instrText>
      </w:r>
      <w:r>
        <w:rPr>
          <w:rStyle w:val="20"/>
          <w:sz w:val="24"/>
          <w:shd w:val="clear" w:color="auto" w:fill="auto"/>
        </w:rPr>
        <w:instrText xml:space="preserve"> </w:instrText>
      </w:r>
      <w:r>
        <w:rPr>
          <w:rStyle w:val="20"/>
          <w:sz w:val="24"/>
          <w:shd w:val="clear" w:color="auto" w:fill="auto"/>
        </w:rPr>
        <w:fldChar w:fldCharType="separate"/>
      </w:r>
      <w:r>
        <w:rPr>
          <w:rStyle w:val="20"/>
          <w:sz w:val="24"/>
          <w:shd w:val="clear" w:color="auto" w:fill="auto"/>
        </w:rPr>
        <w:t>6.1</w:t>
      </w:r>
      <w:r>
        <w:rPr>
          <w:rFonts w:ascii="等线" w:hAnsi="等线" w:eastAsia="等线"/>
          <w:sz w:val="24"/>
          <w:shd w:val="clear" w:color="auto" w:fill="auto"/>
        </w:rPr>
        <w:tab/>
      </w:r>
      <w:r>
        <w:rPr>
          <w:rStyle w:val="20"/>
          <w:sz w:val="24"/>
          <w:shd w:val="clear" w:color="auto" w:fill="auto"/>
        </w:rPr>
        <w:t>出行与无障碍</w:t>
      </w:r>
      <w:r>
        <w:rPr>
          <w:sz w:val="24"/>
          <w:shd w:val="clear" w:color="auto" w:fill="auto"/>
        </w:rPr>
        <w:tab/>
      </w:r>
      <w:r>
        <w:rPr>
          <w:rFonts w:hint="eastAsia"/>
          <w:sz w:val="24"/>
          <w:shd w:val="clear" w:color="auto" w:fill="auto"/>
          <w:lang w:val="en-US" w:eastAsia="zh-CN"/>
        </w:rPr>
        <w:t>5</w:t>
      </w:r>
      <w:r>
        <w:rPr>
          <w:rStyle w:val="20"/>
          <w:sz w:val="24"/>
          <w:shd w:val="clear" w:color="auto" w:fill="auto"/>
        </w:rPr>
        <w:fldChar w:fldCharType="end"/>
      </w:r>
      <w:r>
        <w:rPr>
          <w:rStyle w:val="20"/>
          <w:rFonts w:hint="eastAsia"/>
          <w:sz w:val="24"/>
          <w:shd w:val="clear" w:color="auto" w:fill="auto"/>
          <w:lang w:val="en-US" w:eastAsia="zh-CN"/>
        </w:rPr>
        <w:t>9</w:t>
      </w:r>
    </w:p>
    <w:p>
      <w:pPr>
        <w:pStyle w:val="14"/>
        <w:tabs>
          <w:tab w:val="left" w:pos="1050"/>
          <w:tab w:val="right" w:leader="dot" w:pos="8302"/>
        </w:tabs>
        <w:rPr>
          <w:rFonts w:hint="eastAsia" w:ascii="等线" w:hAnsi="等线" w:eastAsia="宋体"/>
          <w:sz w:val="24"/>
          <w:shd w:val="clear" w:color="auto" w:fill="auto"/>
          <w:lang w:val="en-US" w:eastAsia="zh-CN"/>
        </w:rPr>
      </w:pPr>
      <w:r>
        <w:rPr>
          <w:rStyle w:val="20"/>
          <w:sz w:val="24"/>
          <w:shd w:val="clear" w:color="auto" w:fill="auto"/>
        </w:rPr>
        <w:fldChar w:fldCharType="begin"/>
      </w:r>
      <w:r>
        <w:rPr>
          <w:rStyle w:val="20"/>
          <w:sz w:val="24"/>
          <w:shd w:val="clear" w:color="auto" w:fill="auto"/>
        </w:rPr>
        <w:instrText xml:space="preserve"> </w:instrText>
      </w:r>
      <w:r>
        <w:rPr>
          <w:sz w:val="24"/>
          <w:shd w:val="clear" w:color="auto" w:fill="auto"/>
        </w:rPr>
        <w:instrText xml:space="preserve">HYPERLINK \l "_Toc204157425"</w:instrText>
      </w:r>
      <w:r>
        <w:rPr>
          <w:rStyle w:val="20"/>
          <w:sz w:val="24"/>
          <w:shd w:val="clear" w:color="auto" w:fill="auto"/>
        </w:rPr>
        <w:instrText xml:space="preserve"> </w:instrText>
      </w:r>
      <w:r>
        <w:rPr>
          <w:rStyle w:val="20"/>
          <w:sz w:val="24"/>
          <w:shd w:val="clear" w:color="auto" w:fill="auto"/>
        </w:rPr>
        <w:fldChar w:fldCharType="separate"/>
      </w:r>
      <w:r>
        <w:rPr>
          <w:rStyle w:val="20"/>
          <w:sz w:val="24"/>
          <w:shd w:val="clear" w:color="auto" w:fill="auto"/>
        </w:rPr>
        <w:t>6.2</w:t>
      </w:r>
      <w:r>
        <w:rPr>
          <w:rFonts w:ascii="等线" w:hAnsi="等线" w:eastAsia="等线"/>
          <w:sz w:val="24"/>
          <w:shd w:val="clear" w:color="auto" w:fill="auto"/>
        </w:rPr>
        <w:tab/>
      </w:r>
      <w:r>
        <w:rPr>
          <w:rStyle w:val="20"/>
          <w:sz w:val="24"/>
          <w:shd w:val="clear" w:color="auto" w:fill="auto"/>
        </w:rPr>
        <w:t>服务设施</w:t>
      </w:r>
      <w:r>
        <w:rPr>
          <w:sz w:val="24"/>
          <w:shd w:val="clear" w:color="auto" w:fill="auto"/>
        </w:rPr>
        <w:tab/>
      </w:r>
      <w:r>
        <w:rPr>
          <w:rFonts w:hint="eastAsia"/>
          <w:sz w:val="24"/>
          <w:shd w:val="clear" w:color="auto" w:fill="auto"/>
          <w:lang w:val="en-US" w:eastAsia="zh-CN"/>
        </w:rPr>
        <w:t>5</w:t>
      </w:r>
      <w:r>
        <w:rPr>
          <w:rStyle w:val="20"/>
          <w:sz w:val="24"/>
          <w:shd w:val="clear" w:color="auto" w:fill="auto"/>
        </w:rPr>
        <w:fldChar w:fldCharType="end"/>
      </w:r>
      <w:r>
        <w:rPr>
          <w:rStyle w:val="20"/>
          <w:rFonts w:hint="eastAsia"/>
          <w:sz w:val="24"/>
          <w:shd w:val="clear" w:color="auto" w:fill="auto"/>
          <w:lang w:val="en-US" w:eastAsia="zh-CN"/>
        </w:rPr>
        <w:t>9</w:t>
      </w:r>
    </w:p>
    <w:p>
      <w:pPr>
        <w:pStyle w:val="14"/>
        <w:tabs>
          <w:tab w:val="left" w:pos="1050"/>
          <w:tab w:val="right" w:leader="dot" w:pos="8302"/>
        </w:tabs>
        <w:rPr>
          <w:rFonts w:hint="eastAsia" w:ascii="等线" w:hAnsi="等线" w:eastAsia="宋体"/>
          <w:sz w:val="24"/>
          <w:shd w:val="clear" w:color="auto" w:fill="auto"/>
          <w:lang w:val="en-US" w:eastAsia="zh-CN"/>
        </w:rPr>
      </w:pPr>
      <w:r>
        <w:rPr>
          <w:rStyle w:val="20"/>
          <w:sz w:val="24"/>
          <w:shd w:val="clear" w:color="auto" w:fill="auto"/>
        </w:rPr>
        <w:fldChar w:fldCharType="begin"/>
      </w:r>
      <w:r>
        <w:rPr>
          <w:rStyle w:val="20"/>
          <w:sz w:val="24"/>
          <w:shd w:val="clear" w:color="auto" w:fill="auto"/>
        </w:rPr>
        <w:instrText xml:space="preserve"> </w:instrText>
      </w:r>
      <w:r>
        <w:rPr>
          <w:sz w:val="24"/>
          <w:shd w:val="clear" w:color="auto" w:fill="auto"/>
        </w:rPr>
        <w:instrText xml:space="preserve">HYPERLINK \l "_Toc204157426"</w:instrText>
      </w:r>
      <w:r>
        <w:rPr>
          <w:rStyle w:val="20"/>
          <w:sz w:val="24"/>
          <w:shd w:val="clear" w:color="auto" w:fill="auto"/>
        </w:rPr>
        <w:instrText xml:space="preserve"> </w:instrText>
      </w:r>
      <w:r>
        <w:rPr>
          <w:rStyle w:val="20"/>
          <w:sz w:val="24"/>
          <w:shd w:val="clear" w:color="auto" w:fill="auto"/>
        </w:rPr>
        <w:fldChar w:fldCharType="separate"/>
      </w:r>
      <w:r>
        <w:rPr>
          <w:rStyle w:val="20"/>
          <w:sz w:val="24"/>
          <w:shd w:val="clear" w:color="auto" w:fill="auto"/>
        </w:rPr>
        <w:t>6.3</w:t>
      </w:r>
      <w:r>
        <w:rPr>
          <w:rFonts w:ascii="等线" w:hAnsi="等线" w:eastAsia="等线"/>
          <w:sz w:val="24"/>
          <w:shd w:val="clear" w:color="auto" w:fill="auto"/>
        </w:rPr>
        <w:tab/>
      </w:r>
      <w:r>
        <w:rPr>
          <w:rStyle w:val="20"/>
          <w:sz w:val="24"/>
          <w:shd w:val="clear" w:color="auto" w:fill="auto"/>
        </w:rPr>
        <w:t>智慧运行</w:t>
      </w:r>
      <w:r>
        <w:rPr>
          <w:sz w:val="24"/>
          <w:shd w:val="clear" w:color="auto" w:fill="auto"/>
        </w:rPr>
        <w:tab/>
      </w:r>
      <w:r>
        <w:rPr>
          <w:rFonts w:hint="eastAsia"/>
          <w:sz w:val="24"/>
          <w:shd w:val="clear" w:color="auto" w:fill="auto"/>
          <w:lang w:val="en-US" w:eastAsia="zh-CN"/>
        </w:rPr>
        <w:t>6</w:t>
      </w:r>
      <w:r>
        <w:rPr>
          <w:rStyle w:val="20"/>
          <w:sz w:val="24"/>
          <w:shd w:val="clear" w:color="auto" w:fill="auto"/>
        </w:rPr>
        <w:fldChar w:fldCharType="end"/>
      </w:r>
      <w:r>
        <w:rPr>
          <w:rStyle w:val="20"/>
          <w:rFonts w:hint="eastAsia"/>
          <w:sz w:val="24"/>
          <w:shd w:val="clear" w:color="auto" w:fill="auto"/>
          <w:lang w:val="en-US" w:eastAsia="zh-CN"/>
        </w:rPr>
        <w:t>0</w:t>
      </w:r>
    </w:p>
    <w:p>
      <w:pPr>
        <w:pStyle w:val="14"/>
        <w:tabs>
          <w:tab w:val="left" w:pos="1050"/>
          <w:tab w:val="right" w:leader="dot" w:pos="8302"/>
        </w:tabs>
        <w:rPr>
          <w:rFonts w:hint="eastAsia" w:ascii="等线" w:hAnsi="等线" w:eastAsia="宋体"/>
          <w:sz w:val="24"/>
          <w:shd w:val="clear" w:color="auto" w:fill="auto"/>
          <w:lang w:val="en-US" w:eastAsia="zh-CN"/>
        </w:rPr>
      </w:pPr>
      <w:r>
        <w:rPr>
          <w:rStyle w:val="20"/>
          <w:sz w:val="24"/>
          <w:shd w:val="clear" w:color="auto" w:fill="auto"/>
        </w:rPr>
        <w:fldChar w:fldCharType="begin"/>
      </w:r>
      <w:r>
        <w:rPr>
          <w:rStyle w:val="20"/>
          <w:sz w:val="24"/>
          <w:shd w:val="clear" w:color="auto" w:fill="auto"/>
        </w:rPr>
        <w:instrText xml:space="preserve"> </w:instrText>
      </w:r>
      <w:r>
        <w:rPr>
          <w:sz w:val="24"/>
          <w:shd w:val="clear" w:color="auto" w:fill="auto"/>
        </w:rPr>
        <w:instrText xml:space="preserve">HYPERLINK \l "_Toc204157427"</w:instrText>
      </w:r>
      <w:r>
        <w:rPr>
          <w:rStyle w:val="20"/>
          <w:sz w:val="24"/>
          <w:shd w:val="clear" w:color="auto" w:fill="auto"/>
        </w:rPr>
        <w:instrText xml:space="preserve"> </w:instrText>
      </w:r>
      <w:r>
        <w:rPr>
          <w:rStyle w:val="20"/>
          <w:sz w:val="24"/>
          <w:shd w:val="clear" w:color="auto" w:fill="auto"/>
        </w:rPr>
        <w:fldChar w:fldCharType="separate"/>
      </w:r>
      <w:r>
        <w:rPr>
          <w:rStyle w:val="20"/>
          <w:sz w:val="24"/>
          <w:shd w:val="clear" w:color="auto" w:fill="auto"/>
        </w:rPr>
        <w:t>6.4</w:t>
      </w:r>
      <w:r>
        <w:rPr>
          <w:rFonts w:ascii="等线" w:hAnsi="等线" w:eastAsia="等线"/>
          <w:sz w:val="24"/>
          <w:shd w:val="clear" w:color="auto" w:fill="auto"/>
        </w:rPr>
        <w:tab/>
      </w:r>
      <w:r>
        <w:rPr>
          <w:rStyle w:val="20"/>
          <w:sz w:val="24"/>
          <w:shd w:val="clear" w:color="auto" w:fill="auto"/>
        </w:rPr>
        <w:t>物业管理</w:t>
      </w:r>
      <w:r>
        <w:rPr>
          <w:sz w:val="24"/>
          <w:shd w:val="clear" w:color="auto" w:fill="auto"/>
        </w:rPr>
        <w:tab/>
      </w:r>
      <w:r>
        <w:rPr>
          <w:rFonts w:hint="eastAsia"/>
          <w:sz w:val="24"/>
          <w:shd w:val="clear" w:color="auto" w:fill="auto"/>
          <w:lang w:val="en-US" w:eastAsia="zh-CN"/>
        </w:rPr>
        <w:t>6</w:t>
      </w:r>
      <w:r>
        <w:rPr>
          <w:rStyle w:val="20"/>
          <w:sz w:val="24"/>
          <w:shd w:val="clear" w:color="auto" w:fill="auto"/>
        </w:rPr>
        <w:fldChar w:fldCharType="end"/>
      </w:r>
      <w:r>
        <w:rPr>
          <w:rStyle w:val="20"/>
          <w:rFonts w:hint="eastAsia"/>
          <w:sz w:val="24"/>
          <w:shd w:val="clear" w:color="auto" w:fill="auto"/>
          <w:lang w:val="en-US" w:eastAsia="zh-CN"/>
        </w:rPr>
        <w:t>0</w:t>
      </w:r>
    </w:p>
    <w:p>
      <w:pPr>
        <w:pStyle w:val="12"/>
        <w:tabs>
          <w:tab w:val="left" w:pos="284"/>
          <w:tab w:val="right" w:leader="dot" w:pos="8302"/>
        </w:tabs>
        <w:rPr>
          <w:rFonts w:hint="eastAsia" w:ascii="等线" w:hAnsi="等线" w:eastAsia="宋体"/>
          <w:b w:val="0"/>
          <w:sz w:val="24"/>
          <w:szCs w:val="24"/>
          <w:shd w:val="clear" w:color="auto" w:fill="auto"/>
          <w:lang w:val="en-US" w:eastAsia="zh-CN"/>
        </w:rPr>
      </w:pPr>
      <w:r>
        <w:rPr>
          <w:rStyle w:val="20"/>
          <w:sz w:val="24"/>
          <w:szCs w:val="24"/>
          <w:shd w:val="clear" w:color="auto" w:fill="auto"/>
        </w:rPr>
        <w:fldChar w:fldCharType="begin"/>
      </w:r>
      <w:r>
        <w:rPr>
          <w:rStyle w:val="20"/>
          <w:sz w:val="24"/>
          <w:szCs w:val="24"/>
          <w:shd w:val="clear" w:color="auto" w:fill="auto"/>
        </w:rPr>
        <w:instrText xml:space="preserve"> </w:instrText>
      </w:r>
      <w:r>
        <w:rPr>
          <w:sz w:val="24"/>
          <w:szCs w:val="24"/>
          <w:shd w:val="clear" w:color="auto" w:fill="auto"/>
        </w:rPr>
        <w:instrText xml:space="preserve">HYPERLINK \l "_Toc204157428"</w:instrText>
      </w:r>
      <w:r>
        <w:rPr>
          <w:rStyle w:val="20"/>
          <w:sz w:val="24"/>
          <w:szCs w:val="24"/>
          <w:shd w:val="clear" w:color="auto" w:fill="auto"/>
        </w:rPr>
        <w:instrText xml:space="preserve"> </w:instrText>
      </w:r>
      <w:r>
        <w:rPr>
          <w:rStyle w:val="20"/>
          <w:sz w:val="24"/>
          <w:szCs w:val="24"/>
          <w:shd w:val="clear" w:color="auto" w:fill="auto"/>
        </w:rPr>
        <w:fldChar w:fldCharType="separate"/>
      </w:r>
      <w:r>
        <w:rPr>
          <w:rStyle w:val="20"/>
          <w:sz w:val="24"/>
          <w:szCs w:val="24"/>
          <w:shd w:val="clear" w:color="auto" w:fill="auto"/>
        </w:rPr>
        <w:t>7</w:t>
      </w:r>
      <w:r>
        <w:rPr>
          <w:rFonts w:ascii="等线" w:hAnsi="等线" w:eastAsia="等线"/>
          <w:b w:val="0"/>
          <w:sz w:val="24"/>
          <w:szCs w:val="24"/>
          <w:shd w:val="clear" w:color="auto" w:fill="auto"/>
        </w:rPr>
        <w:tab/>
      </w:r>
      <w:r>
        <w:rPr>
          <w:rStyle w:val="20"/>
          <w:sz w:val="24"/>
          <w:szCs w:val="24"/>
          <w:shd w:val="clear" w:color="auto" w:fill="auto"/>
        </w:rPr>
        <w:t>资源节约</w:t>
      </w:r>
      <w:r>
        <w:rPr>
          <w:sz w:val="24"/>
          <w:szCs w:val="24"/>
          <w:shd w:val="clear" w:color="auto" w:fill="auto"/>
        </w:rPr>
        <w:tab/>
      </w:r>
      <w:r>
        <w:rPr>
          <w:rFonts w:hint="eastAsia"/>
          <w:sz w:val="24"/>
          <w:szCs w:val="24"/>
          <w:shd w:val="clear" w:color="auto" w:fill="auto"/>
          <w:lang w:val="en-US" w:eastAsia="zh-CN"/>
        </w:rPr>
        <w:t>6</w:t>
      </w:r>
      <w:r>
        <w:rPr>
          <w:rStyle w:val="20"/>
          <w:sz w:val="24"/>
          <w:szCs w:val="24"/>
          <w:shd w:val="clear" w:color="auto" w:fill="auto"/>
        </w:rPr>
        <w:fldChar w:fldCharType="end"/>
      </w:r>
      <w:r>
        <w:rPr>
          <w:rStyle w:val="20"/>
          <w:rFonts w:hint="eastAsia"/>
          <w:sz w:val="24"/>
          <w:szCs w:val="24"/>
          <w:shd w:val="clear" w:color="auto" w:fill="auto"/>
          <w:lang w:val="en-US" w:eastAsia="zh-CN"/>
        </w:rPr>
        <w:t>1</w:t>
      </w:r>
    </w:p>
    <w:p>
      <w:pPr>
        <w:pStyle w:val="14"/>
        <w:tabs>
          <w:tab w:val="left" w:pos="1050"/>
          <w:tab w:val="right" w:leader="dot" w:pos="8302"/>
        </w:tabs>
        <w:rPr>
          <w:rFonts w:hint="eastAsia" w:ascii="等线" w:hAnsi="等线" w:eastAsia="宋体"/>
          <w:sz w:val="24"/>
          <w:shd w:val="clear" w:color="auto" w:fill="auto"/>
          <w:lang w:val="en-US" w:eastAsia="zh-CN"/>
        </w:rPr>
      </w:pPr>
      <w:r>
        <w:rPr>
          <w:rStyle w:val="20"/>
          <w:sz w:val="24"/>
          <w:shd w:val="clear" w:color="auto" w:fill="auto"/>
        </w:rPr>
        <w:fldChar w:fldCharType="begin"/>
      </w:r>
      <w:r>
        <w:rPr>
          <w:rStyle w:val="20"/>
          <w:sz w:val="24"/>
          <w:shd w:val="clear" w:color="auto" w:fill="auto"/>
        </w:rPr>
        <w:instrText xml:space="preserve"> </w:instrText>
      </w:r>
      <w:r>
        <w:rPr>
          <w:sz w:val="24"/>
          <w:shd w:val="clear" w:color="auto" w:fill="auto"/>
        </w:rPr>
        <w:instrText xml:space="preserve">HYPERLINK \l "_Toc204157429"</w:instrText>
      </w:r>
      <w:r>
        <w:rPr>
          <w:rStyle w:val="20"/>
          <w:sz w:val="24"/>
          <w:shd w:val="clear" w:color="auto" w:fill="auto"/>
        </w:rPr>
        <w:instrText xml:space="preserve"> </w:instrText>
      </w:r>
      <w:r>
        <w:rPr>
          <w:rStyle w:val="20"/>
          <w:sz w:val="24"/>
          <w:shd w:val="clear" w:color="auto" w:fill="auto"/>
        </w:rPr>
        <w:fldChar w:fldCharType="separate"/>
      </w:r>
      <w:r>
        <w:rPr>
          <w:rStyle w:val="20"/>
          <w:sz w:val="24"/>
          <w:shd w:val="clear" w:color="auto" w:fill="auto"/>
        </w:rPr>
        <w:t>7.1</w:t>
      </w:r>
      <w:r>
        <w:rPr>
          <w:rFonts w:ascii="等线" w:hAnsi="等线" w:eastAsia="等线"/>
          <w:sz w:val="24"/>
          <w:shd w:val="clear" w:color="auto" w:fill="auto"/>
        </w:rPr>
        <w:tab/>
      </w:r>
      <w:r>
        <w:rPr>
          <w:rStyle w:val="20"/>
          <w:sz w:val="24"/>
          <w:shd w:val="clear" w:color="auto" w:fill="auto"/>
        </w:rPr>
        <w:t>节能与能源利用</w:t>
      </w:r>
      <w:r>
        <w:rPr>
          <w:sz w:val="24"/>
          <w:shd w:val="clear" w:color="auto" w:fill="auto"/>
        </w:rPr>
        <w:tab/>
      </w:r>
      <w:r>
        <w:rPr>
          <w:rFonts w:hint="eastAsia"/>
          <w:sz w:val="24"/>
          <w:shd w:val="clear" w:color="auto" w:fill="auto"/>
          <w:lang w:val="en-US" w:eastAsia="zh-CN"/>
        </w:rPr>
        <w:t>6</w:t>
      </w:r>
      <w:r>
        <w:rPr>
          <w:rStyle w:val="20"/>
          <w:sz w:val="24"/>
          <w:shd w:val="clear" w:color="auto" w:fill="auto"/>
        </w:rPr>
        <w:fldChar w:fldCharType="end"/>
      </w:r>
      <w:r>
        <w:rPr>
          <w:rStyle w:val="20"/>
          <w:rFonts w:hint="eastAsia"/>
          <w:sz w:val="24"/>
          <w:shd w:val="clear" w:color="auto" w:fill="auto"/>
          <w:lang w:val="en-US" w:eastAsia="zh-CN"/>
        </w:rPr>
        <w:t>1</w:t>
      </w:r>
    </w:p>
    <w:p>
      <w:pPr>
        <w:pStyle w:val="14"/>
        <w:tabs>
          <w:tab w:val="left" w:pos="1050"/>
          <w:tab w:val="right" w:leader="dot" w:pos="8302"/>
        </w:tabs>
        <w:ind w:left="0" w:leftChars="0" w:firstLine="0" w:firstLineChars="0"/>
        <w:rPr>
          <w:rFonts w:hint="eastAsia" w:ascii="等线" w:hAnsi="等线" w:eastAsia="宋体"/>
          <w:b w:val="0"/>
          <w:sz w:val="24"/>
          <w:szCs w:val="24"/>
          <w:shd w:val="clear" w:color="auto" w:fill="auto"/>
          <w:lang w:val="en-US" w:eastAsia="zh-CN"/>
        </w:rPr>
      </w:pPr>
      <w:r>
        <w:rPr>
          <w:rStyle w:val="20"/>
          <w:sz w:val="24"/>
          <w:shd w:val="clear" w:color="auto" w:fill="auto"/>
        </w:rPr>
        <w:fldChar w:fldCharType="begin"/>
      </w:r>
      <w:r>
        <w:rPr>
          <w:rStyle w:val="20"/>
          <w:sz w:val="24"/>
          <w:shd w:val="clear" w:color="auto" w:fill="auto"/>
        </w:rPr>
        <w:instrText xml:space="preserve"> </w:instrText>
      </w:r>
      <w:r>
        <w:rPr>
          <w:sz w:val="24"/>
          <w:shd w:val="clear" w:color="auto" w:fill="auto"/>
        </w:rPr>
        <w:instrText xml:space="preserve">HYPERLINK \l "_Toc204157430"</w:instrText>
      </w:r>
      <w:r>
        <w:rPr>
          <w:rStyle w:val="20"/>
          <w:sz w:val="24"/>
          <w:shd w:val="clear" w:color="auto" w:fill="auto"/>
        </w:rPr>
        <w:instrText xml:space="preserve"> </w:instrText>
      </w:r>
      <w:r>
        <w:rPr>
          <w:rStyle w:val="20"/>
          <w:sz w:val="24"/>
          <w:shd w:val="clear" w:color="auto" w:fill="auto"/>
        </w:rPr>
        <w:fldChar w:fldCharType="separate"/>
      </w:r>
      <w:r>
        <w:rPr>
          <w:rStyle w:val="20"/>
          <w:sz w:val="24"/>
          <w:shd w:val="clear" w:color="auto" w:fill="auto"/>
        </w:rPr>
        <w:fldChar w:fldCharType="end"/>
      </w:r>
      <w:r>
        <w:rPr>
          <w:rStyle w:val="20"/>
          <w:sz w:val="24"/>
          <w:szCs w:val="24"/>
          <w:shd w:val="clear" w:color="auto" w:fill="auto"/>
        </w:rPr>
        <w:fldChar w:fldCharType="begin"/>
      </w:r>
      <w:r>
        <w:rPr>
          <w:rStyle w:val="20"/>
          <w:sz w:val="24"/>
          <w:szCs w:val="24"/>
          <w:shd w:val="clear" w:color="auto" w:fill="auto"/>
        </w:rPr>
        <w:instrText xml:space="preserve"> </w:instrText>
      </w:r>
      <w:r>
        <w:rPr>
          <w:sz w:val="24"/>
          <w:szCs w:val="24"/>
          <w:shd w:val="clear" w:color="auto" w:fill="auto"/>
        </w:rPr>
        <w:instrText xml:space="preserve">HYPERLINK \l "_Toc204157431"</w:instrText>
      </w:r>
      <w:r>
        <w:rPr>
          <w:rStyle w:val="20"/>
          <w:sz w:val="24"/>
          <w:szCs w:val="24"/>
          <w:shd w:val="clear" w:color="auto" w:fill="auto"/>
        </w:rPr>
        <w:instrText xml:space="preserve"> </w:instrText>
      </w:r>
      <w:r>
        <w:rPr>
          <w:rStyle w:val="20"/>
          <w:sz w:val="24"/>
          <w:szCs w:val="24"/>
          <w:shd w:val="clear" w:color="auto" w:fill="auto"/>
        </w:rPr>
        <w:fldChar w:fldCharType="separate"/>
      </w:r>
      <w:r>
        <w:rPr>
          <w:rStyle w:val="20"/>
          <w:sz w:val="24"/>
          <w:szCs w:val="24"/>
          <w:shd w:val="clear" w:color="auto" w:fill="auto"/>
        </w:rPr>
        <w:t>8环境宜居</w:t>
      </w:r>
      <w:r>
        <w:rPr>
          <w:sz w:val="24"/>
          <w:szCs w:val="24"/>
          <w:shd w:val="clear" w:color="auto" w:fill="auto"/>
        </w:rPr>
        <w:tab/>
      </w:r>
      <w:r>
        <w:rPr>
          <w:rFonts w:hint="eastAsia"/>
          <w:sz w:val="24"/>
          <w:szCs w:val="24"/>
          <w:shd w:val="clear" w:color="auto" w:fill="auto"/>
          <w:lang w:val="en-US" w:eastAsia="zh-CN"/>
        </w:rPr>
        <w:t>6</w:t>
      </w:r>
      <w:r>
        <w:rPr>
          <w:rStyle w:val="20"/>
          <w:sz w:val="24"/>
          <w:szCs w:val="24"/>
          <w:shd w:val="clear" w:color="auto" w:fill="auto"/>
        </w:rPr>
        <w:fldChar w:fldCharType="end"/>
      </w:r>
      <w:r>
        <w:rPr>
          <w:rStyle w:val="20"/>
          <w:rFonts w:hint="eastAsia"/>
          <w:sz w:val="24"/>
          <w:szCs w:val="24"/>
          <w:shd w:val="clear" w:color="auto" w:fill="auto"/>
          <w:lang w:val="en-US" w:eastAsia="zh-CN"/>
        </w:rPr>
        <w:t>2</w:t>
      </w:r>
    </w:p>
    <w:p>
      <w:pPr>
        <w:pStyle w:val="14"/>
        <w:tabs>
          <w:tab w:val="left" w:pos="1050"/>
          <w:tab w:val="right" w:leader="dot" w:pos="8302"/>
        </w:tabs>
        <w:rPr>
          <w:rFonts w:hint="eastAsia" w:ascii="等线" w:hAnsi="等线" w:eastAsia="宋体"/>
          <w:sz w:val="24"/>
          <w:shd w:val="clear" w:color="auto" w:fill="auto"/>
          <w:lang w:val="en-US" w:eastAsia="zh-CN"/>
        </w:rPr>
      </w:pPr>
      <w:r>
        <w:rPr>
          <w:rStyle w:val="20"/>
          <w:sz w:val="24"/>
          <w:shd w:val="clear" w:color="auto" w:fill="auto"/>
        </w:rPr>
        <w:fldChar w:fldCharType="begin"/>
      </w:r>
      <w:r>
        <w:rPr>
          <w:rStyle w:val="20"/>
          <w:sz w:val="24"/>
          <w:shd w:val="clear" w:color="auto" w:fill="auto"/>
        </w:rPr>
        <w:instrText xml:space="preserve"> </w:instrText>
      </w:r>
      <w:r>
        <w:rPr>
          <w:sz w:val="24"/>
          <w:shd w:val="clear" w:color="auto" w:fill="auto"/>
        </w:rPr>
        <w:instrText xml:space="preserve">HYPERLINK \l "_Toc204157432"</w:instrText>
      </w:r>
      <w:r>
        <w:rPr>
          <w:rStyle w:val="20"/>
          <w:sz w:val="24"/>
          <w:shd w:val="clear" w:color="auto" w:fill="auto"/>
        </w:rPr>
        <w:instrText xml:space="preserve"> </w:instrText>
      </w:r>
      <w:r>
        <w:rPr>
          <w:rStyle w:val="20"/>
          <w:sz w:val="24"/>
          <w:shd w:val="clear" w:color="auto" w:fill="auto"/>
        </w:rPr>
        <w:fldChar w:fldCharType="separate"/>
      </w:r>
      <w:r>
        <w:rPr>
          <w:rStyle w:val="20"/>
          <w:sz w:val="24"/>
          <w:shd w:val="clear" w:color="auto" w:fill="auto"/>
        </w:rPr>
        <w:t>8.1</w:t>
      </w:r>
      <w:r>
        <w:rPr>
          <w:rFonts w:ascii="等线" w:hAnsi="等线" w:eastAsia="等线"/>
          <w:sz w:val="24"/>
          <w:shd w:val="clear" w:color="auto" w:fill="auto"/>
        </w:rPr>
        <w:tab/>
      </w:r>
      <w:r>
        <w:rPr>
          <w:rStyle w:val="20"/>
          <w:sz w:val="24"/>
          <w:shd w:val="clear" w:color="auto" w:fill="auto"/>
        </w:rPr>
        <w:t>场地生态与景观</w:t>
      </w:r>
      <w:r>
        <w:rPr>
          <w:sz w:val="24"/>
          <w:shd w:val="clear" w:color="auto" w:fill="auto"/>
        </w:rPr>
        <w:tab/>
      </w:r>
      <w:r>
        <w:rPr>
          <w:rFonts w:hint="eastAsia"/>
          <w:sz w:val="24"/>
          <w:shd w:val="clear" w:color="auto" w:fill="auto"/>
          <w:lang w:val="en-US" w:eastAsia="zh-CN"/>
        </w:rPr>
        <w:t>6</w:t>
      </w:r>
      <w:r>
        <w:rPr>
          <w:rStyle w:val="20"/>
          <w:sz w:val="24"/>
          <w:shd w:val="clear" w:color="auto" w:fill="auto"/>
        </w:rPr>
        <w:fldChar w:fldCharType="end"/>
      </w:r>
      <w:r>
        <w:rPr>
          <w:rStyle w:val="20"/>
          <w:rFonts w:hint="eastAsia"/>
          <w:sz w:val="24"/>
          <w:shd w:val="clear" w:color="auto" w:fill="auto"/>
          <w:lang w:val="en-US" w:eastAsia="zh-CN"/>
        </w:rPr>
        <w:t>2</w:t>
      </w:r>
    </w:p>
    <w:p>
      <w:pPr>
        <w:pStyle w:val="14"/>
        <w:tabs>
          <w:tab w:val="left" w:pos="1050"/>
          <w:tab w:val="right" w:leader="dot" w:pos="8302"/>
        </w:tabs>
        <w:rPr>
          <w:rFonts w:hint="eastAsia" w:ascii="等线" w:hAnsi="等线" w:eastAsia="宋体"/>
          <w:sz w:val="24"/>
          <w:shd w:val="clear" w:color="auto" w:fill="auto"/>
          <w:lang w:val="en-US" w:eastAsia="zh-CN"/>
        </w:rPr>
      </w:pPr>
      <w:r>
        <w:rPr>
          <w:rStyle w:val="20"/>
          <w:sz w:val="24"/>
          <w:shd w:val="clear" w:color="auto" w:fill="auto"/>
        </w:rPr>
        <w:fldChar w:fldCharType="begin"/>
      </w:r>
      <w:r>
        <w:rPr>
          <w:rStyle w:val="20"/>
          <w:sz w:val="24"/>
          <w:shd w:val="clear" w:color="auto" w:fill="auto"/>
        </w:rPr>
        <w:instrText xml:space="preserve"> </w:instrText>
      </w:r>
      <w:r>
        <w:rPr>
          <w:sz w:val="24"/>
          <w:shd w:val="clear" w:color="auto" w:fill="auto"/>
        </w:rPr>
        <w:instrText xml:space="preserve">HYPERLINK \l "_Toc204157433"</w:instrText>
      </w:r>
      <w:r>
        <w:rPr>
          <w:rStyle w:val="20"/>
          <w:sz w:val="24"/>
          <w:shd w:val="clear" w:color="auto" w:fill="auto"/>
        </w:rPr>
        <w:instrText xml:space="preserve"> </w:instrText>
      </w:r>
      <w:r>
        <w:rPr>
          <w:rStyle w:val="20"/>
          <w:sz w:val="24"/>
          <w:shd w:val="clear" w:color="auto" w:fill="auto"/>
        </w:rPr>
        <w:fldChar w:fldCharType="separate"/>
      </w:r>
      <w:r>
        <w:rPr>
          <w:rStyle w:val="20"/>
          <w:sz w:val="24"/>
          <w:shd w:val="clear" w:color="auto" w:fill="auto"/>
        </w:rPr>
        <w:t>8.2</w:t>
      </w:r>
      <w:r>
        <w:rPr>
          <w:rFonts w:ascii="等线" w:hAnsi="等线" w:eastAsia="等线"/>
          <w:sz w:val="24"/>
          <w:shd w:val="clear" w:color="auto" w:fill="auto"/>
        </w:rPr>
        <w:tab/>
      </w:r>
      <w:r>
        <w:rPr>
          <w:rStyle w:val="20"/>
          <w:sz w:val="24"/>
          <w:shd w:val="clear" w:color="auto" w:fill="auto"/>
        </w:rPr>
        <w:t>室外环境</w:t>
      </w:r>
      <w:r>
        <w:rPr>
          <w:sz w:val="24"/>
          <w:shd w:val="clear" w:color="auto" w:fill="auto"/>
        </w:rPr>
        <w:tab/>
      </w:r>
      <w:r>
        <w:rPr>
          <w:rFonts w:hint="eastAsia"/>
          <w:sz w:val="24"/>
          <w:shd w:val="clear" w:color="auto" w:fill="auto"/>
          <w:lang w:val="en-US" w:eastAsia="zh-CN"/>
        </w:rPr>
        <w:t>6</w:t>
      </w:r>
      <w:r>
        <w:rPr>
          <w:rStyle w:val="20"/>
          <w:sz w:val="24"/>
          <w:shd w:val="clear" w:color="auto" w:fill="auto"/>
        </w:rPr>
        <w:fldChar w:fldCharType="end"/>
      </w:r>
      <w:r>
        <w:rPr>
          <w:rStyle w:val="20"/>
          <w:rFonts w:hint="eastAsia"/>
          <w:sz w:val="24"/>
          <w:shd w:val="clear" w:color="auto" w:fill="auto"/>
          <w:lang w:val="en-US" w:eastAsia="zh-CN"/>
        </w:rPr>
        <w:t>2</w:t>
      </w:r>
    </w:p>
    <w:p>
      <w:pPr>
        <w:pStyle w:val="14"/>
        <w:tabs>
          <w:tab w:val="left" w:pos="1050"/>
          <w:tab w:val="right" w:leader="dot" w:pos="8302"/>
        </w:tabs>
        <w:ind w:left="0" w:leftChars="0" w:firstLine="0" w:firstLineChars="0"/>
        <w:rPr>
          <w:rFonts w:hint="eastAsia" w:ascii="等线" w:hAnsi="等线" w:eastAsia="宋体"/>
          <w:b w:val="0"/>
          <w:sz w:val="24"/>
          <w:szCs w:val="24"/>
          <w:shd w:val="clear" w:color="auto" w:fill="auto"/>
          <w:lang w:val="en-US" w:eastAsia="zh-CN"/>
        </w:rPr>
      </w:pPr>
      <w:r>
        <w:rPr>
          <w:rStyle w:val="20"/>
          <w:sz w:val="24"/>
          <w:szCs w:val="24"/>
          <w:shd w:val="clear" w:color="auto" w:fill="auto"/>
        </w:rPr>
        <w:fldChar w:fldCharType="begin"/>
      </w:r>
      <w:r>
        <w:rPr>
          <w:rStyle w:val="20"/>
          <w:sz w:val="24"/>
          <w:szCs w:val="24"/>
          <w:shd w:val="clear" w:color="auto" w:fill="auto"/>
        </w:rPr>
        <w:instrText xml:space="preserve"> </w:instrText>
      </w:r>
      <w:r>
        <w:rPr>
          <w:sz w:val="24"/>
          <w:szCs w:val="24"/>
          <w:shd w:val="clear" w:color="auto" w:fill="auto"/>
        </w:rPr>
        <w:instrText xml:space="preserve">HYPERLINK \l "_Toc204157435"</w:instrText>
      </w:r>
      <w:r>
        <w:rPr>
          <w:rStyle w:val="20"/>
          <w:sz w:val="24"/>
          <w:szCs w:val="24"/>
          <w:shd w:val="clear" w:color="auto" w:fill="auto"/>
        </w:rPr>
        <w:instrText xml:space="preserve"> </w:instrText>
      </w:r>
      <w:r>
        <w:rPr>
          <w:rStyle w:val="20"/>
          <w:sz w:val="24"/>
          <w:szCs w:val="24"/>
          <w:shd w:val="clear" w:color="auto" w:fill="auto"/>
        </w:rPr>
        <w:fldChar w:fldCharType="separate"/>
      </w:r>
      <w:r>
        <w:rPr>
          <w:rStyle w:val="20"/>
          <w:sz w:val="24"/>
          <w:szCs w:val="24"/>
          <w:shd w:val="clear" w:color="auto" w:fill="auto"/>
        </w:rPr>
        <w:t>9提高与创新</w:t>
      </w:r>
      <w:r>
        <w:rPr>
          <w:sz w:val="24"/>
          <w:szCs w:val="24"/>
          <w:shd w:val="clear" w:color="auto" w:fill="auto"/>
        </w:rPr>
        <w:tab/>
      </w:r>
      <w:r>
        <w:rPr>
          <w:rFonts w:hint="eastAsia"/>
          <w:sz w:val="24"/>
          <w:szCs w:val="24"/>
          <w:shd w:val="clear" w:color="auto" w:fill="auto"/>
          <w:lang w:val="en-US" w:eastAsia="zh-CN"/>
        </w:rPr>
        <w:t>6</w:t>
      </w:r>
      <w:r>
        <w:rPr>
          <w:rStyle w:val="20"/>
          <w:sz w:val="24"/>
          <w:szCs w:val="24"/>
          <w:shd w:val="clear" w:color="auto" w:fill="auto"/>
        </w:rPr>
        <w:fldChar w:fldCharType="end"/>
      </w:r>
      <w:r>
        <w:rPr>
          <w:rStyle w:val="20"/>
          <w:rFonts w:hint="eastAsia"/>
          <w:sz w:val="24"/>
          <w:szCs w:val="24"/>
          <w:shd w:val="clear" w:color="auto" w:fill="auto"/>
          <w:lang w:val="en-US" w:eastAsia="zh-CN"/>
        </w:rPr>
        <w:t>4</w:t>
      </w:r>
    </w:p>
    <w:p>
      <w:pPr>
        <w:pStyle w:val="12"/>
        <w:tabs>
          <w:tab w:val="left" w:pos="284"/>
          <w:tab w:val="right" w:leader="dot" w:pos="8302"/>
        </w:tabs>
        <w:rPr>
          <w:rFonts w:ascii="等线" w:hAnsi="等线" w:eastAsia="等线"/>
          <w:b w:val="0"/>
          <w:sz w:val="24"/>
          <w:szCs w:val="24"/>
          <w:shd w:val="clear" w:color="FFFFFF" w:fill="D9D9D9"/>
        </w:rPr>
      </w:pPr>
      <w:r>
        <w:rPr>
          <w:rStyle w:val="20"/>
          <w:sz w:val="24"/>
          <w:szCs w:val="24"/>
          <w:shd w:val="clear" w:color="FFFFFF" w:fill="D9D9D9"/>
        </w:rPr>
        <w:fldChar w:fldCharType="begin"/>
      </w:r>
      <w:r>
        <w:rPr>
          <w:rStyle w:val="20"/>
          <w:sz w:val="24"/>
          <w:szCs w:val="24"/>
          <w:shd w:val="clear" w:color="FFFFFF" w:fill="D9D9D9"/>
        </w:rPr>
        <w:instrText xml:space="preserve"> </w:instrText>
      </w:r>
      <w:r>
        <w:rPr>
          <w:sz w:val="24"/>
          <w:szCs w:val="24"/>
          <w:shd w:val="clear" w:color="FFFFFF" w:fill="D9D9D9"/>
        </w:rPr>
        <w:instrText xml:space="preserve">HYPERLINK \l "_Toc204157436"</w:instrText>
      </w:r>
      <w:r>
        <w:rPr>
          <w:rStyle w:val="20"/>
          <w:sz w:val="24"/>
          <w:szCs w:val="24"/>
          <w:shd w:val="clear" w:color="FFFFFF" w:fill="D9D9D9"/>
        </w:rPr>
        <w:instrText xml:space="preserve"> </w:instrText>
      </w:r>
      <w:r>
        <w:rPr>
          <w:rStyle w:val="20"/>
          <w:sz w:val="24"/>
          <w:szCs w:val="24"/>
          <w:shd w:val="clear" w:color="FFFFFF" w:fill="D9D9D9"/>
        </w:rPr>
        <w:fldChar w:fldCharType="separate"/>
      </w:r>
      <w:r>
        <w:rPr>
          <w:rStyle w:val="20"/>
          <w:sz w:val="24"/>
          <w:szCs w:val="24"/>
          <w:shd w:val="clear" w:color="FFFFFF" w:fill="D9D9D9"/>
        </w:rPr>
        <w:fldChar w:fldCharType="end"/>
      </w:r>
    </w:p>
    <w:p>
      <w:pPr>
        <w:pStyle w:val="36"/>
        <w:spacing w:before="0" w:beforeLines="0" w:after="0" w:afterLines="0" w:line="360" w:lineRule="auto"/>
        <w:ind w:left="2337" w:leftChars="113" w:hanging="2100" w:hangingChars="875"/>
        <w:jc w:val="both"/>
        <w:outlineLvl w:val="9"/>
        <w:rPr>
          <w:b w:val="0"/>
          <w:bCs w:val="0"/>
          <w:sz w:val="24"/>
          <w:szCs w:val="24"/>
          <w:shd w:val="clear" w:color="FFFFFF" w:fill="D9D9D9"/>
        </w:rPr>
      </w:pPr>
      <w:r>
        <w:rPr>
          <w:b w:val="0"/>
          <w:bCs w:val="0"/>
          <w:sz w:val="24"/>
          <w:szCs w:val="24"/>
          <w:shd w:val="clear" w:color="FFFFFF" w:fill="D9D9D9"/>
        </w:rPr>
        <w:fldChar w:fldCharType="end"/>
      </w:r>
    </w:p>
    <w:p>
      <w:pPr>
        <w:tabs>
          <w:tab w:val="left" w:pos="6620"/>
        </w:tabs>
        <w:bidi w:val="0"/>
        <w:jc w:val="left"/>
        <w:rPr>
          <w:rFonts w:hint="eastAsia"/>
          <w:shd w:val="clear" w:color="FFFFFF" w:fill="D9D9D9"/>
          <w:lang w:val="en-US" w:eastAsia="zh-CN"/>
        </w:rPr>
        <w:sectPr>
          <w:pgSz w:w="11906" w:h="16838"/>
          <w:pgMar w:top="1610" w:right="1349" w:bottom="1213" w:left="1293" w:header="851" w:footer="992" w:gutter="0"/>
          <w:pgBorders>
            <w:top w:val="none" w:sz="0" w:space="0"/>
            <w:left w:val="none" w:sz="0" w:space="0"/>
            <w:bottom w:val="none" w:sz="0" w:space="0"/>
            <w:right w:val="none" w:sz="0" w:space="0"/>
          </w:pgBorders>
          <w:pgNumType w:fmt="decimal"/>
          <w:cols w:space="0" w:num="1"/>
          <w:rtlGutter w:val="0"/>
          <w:docGrid w:type="linesAndChars" w:linePitch="312" w:charSpace="0"/>
        </w:sectPr>
      </w:pPr>
    </w:p>
    <w:p>
      <w:pPr>
        <w:rPr>
          <w:rFonts w:hint="eastAsia"/>
          <w:lang w:val="en-US" w:eastAsia="zh-CN"/>
        </w:rPr>
      </w:pPr>
    </w:p>
    <w:p>
      <w:pPr>
        <w:keepNext/>
        <w:keepLines/>
        <w:widowControl w:val="0"/>
        <w:numPr>
          <w:ilvl w:val="0"/>
          <w:numId w:val="0"/>
        </w:numPr>
        <w:spacing w:before="340" w:after="330" w:line="578" w:lineRule="auto"/>
        <w:ind w:left="425" w:leftChars="0" w:hanging="425" w:firstLineChars="0"/>
        <w:jc w:val="center"/>
        <w:outlineLvl w:val="0"/>
        <w:rPr>
          <w:rFonts w:ascii="Times New Roman" w:hAnsi="Times New Roman" w:eastAsia="宋体" w:cs="Times New Roman"/>
          <w:b/>
          <w:bCs/>
          <w:kern w:val="44"/>
          <w:sz w:val="28"/>
          <w:szCs w:val="28"/>
          <w:lang w:val="en-US" w:eastAsia="zh-CN" w:bidi="ar-SA"/>
        </w:rPr>
      </w:pPr>
      <w:r>
        <w:rPr>
          <w:rFonts w:hint="eastAsia" w:cs="Times New Roman"/>
          <w:b/>
          <w:bCs/>
          <w:kern w:val="44"/>
          <w:sz w:val="28"/>
          <w:szCs w:val="28"/>
          <w:lang w:val="en-US" w:eastAsia="zh-CN" w:bidi="ar-SA"/>
        </w:rPr>
        <w:t xml:space="preserve">1  </w:t>
      </w:r>
      <w:r>
        <w:rPr>
          <w:rFonts w:ascii="Times New Roman" w:hAnsi="Times New Roman" w:eastAsia="宋体" w:cs="Times New Roman"/>
          <w:b/>
          <w:bCs/>
          <w:kern w:val="44"/>
          <w:sz w:val="28"/>
          <w:szCs w:val="28"/>
          <w:lang w:val="en-US" w:eastAsia="zh-CN" w:bidi="ar-SA"/>
        </w:rPr>
        <w:t>总</w:t>
      </w:r>
      <w:r>
        <w:rPr>
          <w:rFonts w:hint="eastAsia" w:cs="Times New Roman"/>
          <w:b/>
          <w:bCs/>
          <w:kern w:val="44"/>
          <w:sz w:val="28"/>
          <w:szCs w:val="28"/>
          <w:lang w:val="en-US" w:eastAsia="zh-CN" w:bidi="ar-SA"/>
        </w:rPr>
        <w:t xml:space="preserve"> </w:t>
      </w:r>
      <w:r>
        <w:rPr>
          <w:rFonts w:ascii="Times New Roman" w:hAnsi="Times New Roman" w:eastAsia="宋体" w:cs="Times New Roman"/>
          <w:b/>
          <w:bCs/>
          <w:kern w:val="44"/>
          <w:sz w:val="28"/>
          <w:szCs w:val="28"/>
          <w:lang w:val="en-US" w:eastAsia="zh-CN" w:bidi="ar-SA"/>
        </w:rPr>
        <w:t>则</w:t>
      </w:r>
    </w:p>
    <w:p>
      <w:pPr>
        <w:widowControl w:val="0"/>
        <w:numPr>
          <w:ilvl w:val="0"/>
          <w:numId w:val="0"/>
        </w:numPr>
        <w:spacing w:before="0" w:after="0" w:line="360" w:lineRule="auto"/>
        <w:ind w:left="478" w:leftChars="228" w:firstLine="0" w:firstLineChars="0"/>
        <w:jc w:val="both"/>
        <w:outlineLvl w:val="9"/>
        <w:rPr>
          <w:rFonts w:hint="eastAsia" w:ascii="宋体" w:hAnsi="宋体" w:eastAsia="宋体" w:cs="宋体"/>
          <w:sz w:val="24"/>
          <w:szCs w:val="24"/>
        </w:rPr>
      </w:pPr>
      <w:r>
        <w:rPr>
          <w:rFonts w:hint="default" w:ascii="Times New Roman" w:hAnsi="Times New Roman" w:eastAsia="宋体" w:cs="Times New Roman"/>
          <w:b/>
          <w:i w:val="0"/>
          <w:iCs w:val="0"/>
          <w:kern w:val="2"/>
          <w:sz w:val="24"/>
          <w:szCs w:val="24"/>
          <w:lang w:val="en-US" w:eastAsia="zh-CN" w:bidi="ar-SA"/>
        </w:rPr>
        <w:t>1.0.</w:t>
      </w:r>
      <w:r>
        <w:rPr>
          <w:rFonts w:hint="eastAsia" w:ascii="Times New Roman" w:hAnsi="Times New Roman" w:cs="Times New Roman"/>
          <w:b/>
          <w:i w:val="0"/>
          <w:iCs w:val="0"/>
          <w:kern w:val="2"/>
          <w:sz w:val="24"/>
          <w:szCs w:val="24"/>
          <w:lang w:val="en-US" w:eastAsia="zh-CN" w:bidi="ar-SA"/>
        </w:rPr>
        <w:t xml:space="preserve">1  </w:t>
      </w:r>
      <w:r>
        <w:rPr>
          <w:rFonts w:hint="eastAsia" w:ascii="宋体" w:hAnsi="宋体" w:eastAsia="宋体" w:cs="宋体"/>
          <w:sz w:val="24"/>
          <w:szCs w:val="24"/>
        </w:rPr>
        <w:t>随着标准化改革的不断深入，支撑工程建设高质量发展的新型标准体系框架基本形成，住房城乡建设部陆续发布的一系列强制性工程建设规范，作为保障人民生命财产安全、生态环境安全、促进资源节约利用、满足经济发展需求的底线性要求。同时，为加强与强制性工程建设规范的协调性，支撑我国城乡建设领域全面落实低碳发展目标，国家标准《绿色建筑评价标准》GB/T 50378-2019于2019年3月13日发布，自2019年8月1日起实施，原《绿色建筑评价标准》GB/T 50378-2014同时废止。修订后的《绿色建筑评价标准》GB/T 50378-2019较《绿色建筑评价标准》GB/T 50378-2014在架构和内容上有较大的变动。2024年6月19日，住房城乡建设部发布关于国家标准《绿色建筑评价标准》GB/T 50378-2019局部修订的公告，围绕“与现行强制性工程建设规范相协调”“强化绿色建筑的碳减排性能要求”“优化实施效果，与现行相关标准进行协调”等主要内容进行局部修订，共计56条。</w:t>
      </w:r>
    </w:p>
    <w:p>
      <w:pPr>
        <w:widowControl w:val="0"/>
        <w:numPr>
          <w:ilvl w:val="0"/>
          <w:numId w:val="0"/>
        </w:numPr>
        <w:spacing w:before="0" w:after="0" w:line="360" w:lineRule="auto"/>
        <w:ind w:left="420" w:leftChars="200" w:firstLine="0" w:firstLineChars="0"/>
        <w:jc w:val="both"/>
        <w:outlineLvl w:val="9"/>
        <w:rPr>
          <w:rFonts w:ascii="Times New Roman" w:hAnsi="Times New Roman" w:cs="Times New Roman"/>
          <w:sz w:val="24"/>
          <w:szCs w:val="24"/>
        </w:rPr>
      </w:pPr>
      <w:r>
        <w:rPr>
          <w:rFonts w:hint="eastAsia" w:ascii="宋体" w:hAnsi="宋体" w:eastAsia="宋体" w:cs="宋体"/>
          <w:sz w:val="24"/>
          <w:szCs w:val="24"/>
        </w:rPr>
        <w:t>2022年3月28日，《深圳经济特区绿色建筑条例》经深圳市第七届人民代表大会常务委员会第八次会议通过，自2022年7月1日起施行。该条例第九条明确提出：“建筑物所有权人应当依法承担绿色建筑运行使用主体责任，保障建筑物绿色性能运行良好。建筑物所有权人、使用人及其委托的管理服务单位应当确保建筑物符合绿色建筑等级的运行要求。”深圳市绿色建筑运行检验技术规程作为执行深圳经济特区绿色建筑条例的重要环节，对深圳市绿色建筑高质量发展起着至关重要的作用。通过规范深圳市绿色建筑运行效果的检验方法，从而为运行标识评价时提供客观的数据支撑，保障国家标准《绿色建筑评价标准》的核心技术体系能够在深圳有效落地。</w:t>
      </w:r>
    </w:p>
    <w:p>
      <w:pPr>
        <w:widowControl w:val="0"/>
        <w:numPr>
          <w:ilvl w:val="0"/>
          <w:numId w:val="0"/>
        </w:numPr>
        <w:spacing w:before="0" w:after="0" w:line="360" w:lineRule="auto"/>
        <w:ind w:left="426" w:leftChars="203" w:firstLine="0" w:firstLineChars="0"/>
        <w:jc w:val="both"/>
        <w:outlineLvl w:val="9"/>
        <w:rPr>
          <w:rFonts w:ascii="Times New Roman" w:hAnsi="Times New Roman" w:cs="Times New Roman"/>
          <w:i/>
          <w:sz w:val="24"/>
          <w:szCs w:val="24"/>
        </w:rPr>
      </w:pPr>
      <w:r>
        <w:rPr>
          <w:rFonts w:hint="default" w:ascii="Times New Roman" w:hAnsi="Times New Roman" w:eastAsia="宋体" w:cs="Times New Roman"/>
          <w:b/>
          <w:i w:val="0"/>
          <w:iCs w:val="0"/>
          <w:kern w:val="2"/>
          <w:sz w:val="24"/>
          <w:szCs w:val="24"/>
          <w:lang w:val="en-US" w:eastAsia="zh-CN" w:bidi="ar-SA"/>
        </w:rPr>
        <w:t>1.0.</w:t>
      </w:r>
      <w:r>
        <w:rPr>
          <w:rFonts w:hint="eastAsia" w:cs="Times New Roman"/>
          <w:b/>
          <w:i w:val="0"/>
          <w:iCs w:val="0"/>
          <w:kern w:val="2"/>
          <w:sz w:val="24"/>
          <w:szCs w:val="24"/>
          <w:lang w:val="en-US" w:eastAsia="zh-CN" w:bidi="ar-SA"/>
        </w:rPr>
        <w:t xml:space="preserve">2  </w:t>
      </w:r>
      <w:r>
        <w:rPr>
          <w:rFonts w:hint="eastAsia" w:ascii="宋体" w:hAnsi="宋体" w:eastAsia="宋体" w:cs="宋体"/>
          <w:sz w:val="24"/>
          <w:szCs w:val="24"/>
        </w:rPr>
        <w:t>本条规定了规程的</w:t>
      </w:r>
      <w:r>
        <w:rPr>
          <w:rFonts w:ascii="Times New Roman" w:hAnsi="Times New Roman" w:cs="Times New Roman"/>
          <w:i/>
          <w:sz w:val="24"/>
          <w:szCs w:val="24"/>
        </w:rPr>
        <w:t>适</w:t>
      </w:r>
      <w:r>
        <w:rPr>
          <w:rFonts w:hint="eastAsia" w:ascii="宋体" w:hAnsi="宋体" w:eastAsia="宋体" w:cs="宋体"/>
          <w:sz w:val="24"/>
          <w:szCs w:val="24"/>
        </w:rPr>
        <w:t>用范围，即本规程适用于深圳市范围内所有新建和既有民用建筑的绿色运行性能及效果的检验。其运行效果及相关性能包括但不限于具有完备的运行管理制度，屋顶、外墙、外门窗等建筑围护结构完好，遮阳、通风、空调、照明、水、电气、计量等设备系统运行正常，节能、节水指标以及环境指标达标等内容，废气、污水、固体废弃物、辐射及其他有害物质排放和处置符合相关规定等六项要求，规范绿色建筑运行维护管养。</w:t>
      </w:r>
    </w:p>
    <w:p>
      <w:pPr>
        <w:widowControl w:val="0"/>
        <w:numPr>
          <w:ilvl w:val="0"/>
          <w:numId w:val="0"/>
        </w:numPr>
        <w:spacing w:before="0" w:after="0" w:line="360" w:lineRule="auto"/>
        <w:ind w:left="426" w:leftChars="203" w:firstLine="0" w:firstLineChars="0"/>
        <w:jc w:val="both"/>
        <w:outlineLvl w:val="9"/>
        <w:rPr>
          <w:rFonts w:hint="eastAsia" w:ascii="宋体" w:hAnsi="宋体" w:eastAsia="宋体" w:cs="宋体"/>
          <w:sz w:val="24"/>
          <w:szCs w:val="24"/>
        </w:rPr>
      </w:pPr>
      <w:r>
        <w:rPr>
          <w:rFonts w:hint="default" w:ascii="Times New Roman" w:hAnsi="Times New Roman" w:eastAsia="宋体" w:cs="Times New Roman"/>
          <w:b/>
          <w:i w:val="0"/>
          <w:iCs w:val="0"/>
          <w:kern w:val="2"/>
          <w:sz w:val="24"/>
          <w:szCs w:val="24"/>
          <w:lang w:val="en-US" w:eastAsia="zh-CN" w:bidi="ar-SA"/>
        </w:rPr>
        <w:t>1.0.</w:t>
      </w:r>
      <w:r>
        <w:rPr>
          <w:rFonts w:hint="eastAsia" w:cs="Times New Roman"/>
          <w:b/>
          <w:i w:val="0"/>
          <w:iCs w:val="0"/>
          <w:kern w:val="2"/>
          <w:sz w:val="24"/>
          <w:szCs w:val="24"/>
          <w:lang w:val="en-US" w:eastAsia="zh-CN" w:bidi="ar-SA"/>
        </w:rPr>
        <w:t xml:space="preserve">3  </w:t>
      </w:r>
      <w:r>
        <w:rPr>
          <w:rFonts w:hint="eastAsia" w:ascii="宋体" w:hAnsi="宋体" w:eastAsia="宋体" w:cs="宋体"/>
          <w:sz w:val="24"/>
          <w:szCs w:val="24"/>
        </w:rPr>
        <w:t>符合国家、广东省和深圳市法律法规与相关标准是建筑落实绿色运行的必要条件。本规程未全部涵盖通常建筑物所应有功能和性能的运行检验要求，而是着重提出与绿色建筑运行性能及效果相关的检验内容，主要包括安全耐久、健康舒适、生活便利、资源节约、环境宜居等方面。因此，除符合本规程要求外，还应符合国家、广东省和深圳市法律法规，以及现行有关标准的规定。</w:t>
      </w:r>
    </w:p>
    <w:p>
      <w:pPr>
        <w:widowControl w:val="0"/>
        <w:numPr>
          <w:ilvl w:val="0"/>
          <w:numId w:val="0"/>
        </w:numPr>
        <w:spacing w:before="0" w:after="0" w:line="360" w:lineRule="auto"/>
        <w:ind w:left="426" w:leftChars="203" w:firstLine="0" w:firstLineChars="0"/>
        <w:jc w:val="both"/>
        <w:outlineLvl w:val="9"/>
        <w:rPr>
          <w:rFonts w:ascii="Times New Roman" w:hAnsi="Times New Roman" w:eastAsia="宋体" w:cs="Times New Roman"/>
          <w:b w:val="0"/>
          <w:bCs/>
          <w:kern w:val="28"/>
          <w:sz w:val="24"/>
          <w:szCs w:val="32"/>
          <w:lang w:val="zh-CN" w:eastAsia="zh-CN" w:bidi="ar-SA"/>
        </w:rPr>
      </w:pPr>
    </w:p>
    <w:p>
      <w:pPr>
        <w:widowControl w:val="0"/>
        <w:numPr>
          <w:ilvl w:val="0"/>
          <w:numId w:val="0"/>
        </w:numPr>
        <w:spacing w:before="0" w:after="0" w:line="360" w:lineRule="auto"/>
        <w:ind w:left="426" w:leftChars="203" w:firstLine="0" w:firstLineChars="0"/>
        <w:jc w:val="both"/>
        <w:outlineLvl w:val="9"/>
        <w:rPr>
          <w:rFonts w:ascii="Times New Roman" w:hAnsi="Times New Roman" w:eastAsia="宋体" w:cs="Times New Roman"/>
          <w:b w:val="0"/>
          <w:bCs/>
          <w:kern w:val="28"/>
          <w:sz w:val="24"/>
          <w:szCs w:val="32"/>
          <w:lang w:val="zh-CN" w:eastAsia="zh-CN" w:bidi="ar-SA"/>
        </w:rPr>
      </w:pPr>
    </w:p>
    <w:p>
      <w:pPr>
        <w:widowControl w:val="0"/>
        <w:numPr>
          <w:ilvl w:val="0"/>
          <w:numId w:val="0"/>
        </w:numPr>
        <w:spacing w:before="0" w:after="0" w:line="360" w:lineRule="auto"/>
        <w:ind w:left="426" w:leftChars="203" w:firstLine="0" w:firstLineChars="0"/>
        <w:jc w:val="both"/>
        <w:outlineLvl w:val="9"/>
        <w:rPr>
          <w:rFonts w:ascii="Times New Roman" w:hAnsi="Times New Roman" w:eastAsia="宋体" w:cs="Times New Roman"/>
          <w:b w:val="0"/>
          <w:bCs/>
          <w:kern w:val="28"/>
          <w:sz w:val="24"/>
          <w:szCs w:val="32"/>
          <w:lang w:val="zh-CN" w:eastAsia="zh-CN" w:bidi="ar-SA"/>
        </w:rPr>
      </w:pPr>
    </w:p>
    <w:p>
      <w:pPr>
        <w:widowControl w:val="0"/>
        <w:numPr>
          <w:ilvl w:val="0"/>
          <w:numId w:val="0"/>
        </w:numPr>
        <w:spacing w:before="0" w:after="0" w:line="360" w:lineRule="auto"/>
        <w:ind w:left="426" w:leftChars="203" w:firstLine="0" w:firstLineChars="0"/>
        <w:jc w:val="both"/>
        <w:outlineLvl w:val="9"/>
        <w:rPr>
          <w:rFonts w:ascii="Times New Roman" w:hAnsi="Times New Roman" w:eastAsia="宋体" w:cs="Times New Roman"/>
          <w:b w:val="0"/>
          <w:bCs/>
          <w:kern w:val="28"/>
          <w:sz w:val="24"/>
          <w:szCs w:val="32"/>
          <w:lang w:val="zh-CN" w:eastAsia="zh-CN" w:bidi="ar-SA"/>
        </w:rPr>
      </w:pPr>
    </w:p>
    <w:p>
      <w:pPr>
        <w:widowControl w:val="0"/>
        <w:numPr>
          <w:ilvl w:val="0"/>
          <w:numId w:val="0"/>
        </w:numPr>
        <w:spacing w:before="0" w:after="0" w:line="360" w:lineRule="auto"/>
        <w:ind w:left="426" w:leftChars="203" w:firstLine="0" w:firstLineChars="0"/>
        <w:jc w:val="both"/>
        <w:outlineLvl w:val="9"/>
        <w:rPr>
          <w:rFonts w:hint="default" w:ascii="Times New Roman" w:hAnsi="Times New Roman" w:eastAsia="宋体" w:cs="Times New Roman"/>
          <w:b w:val="0"/>
          <w:bCs/>
          <w:kern w:val="28"/>
          <w:sz w:val="24"/>
          <w:szCs w:val="32"/>
          <w:lang w:val="en-US" w:eastAsia="zh-CN" w:bidi="ar-SA"/>
        </w:rPr>
      </w:pPr>
    </w:p>
    <w:p>
      <w:pPr>
        <w:widowControl w:val="0"/>
        <w:numPr>
          <w:ilvl w:val="0"/>
          <w:numId w:val="0"/>
        </w:numPr>
        <w:spacing w:before="0" w:after="0" w:line="360" w:lineRule="auto"/>
        <w:ind w:left="426" w:leftChars="203" w:firstLine="0" w:firstLineChars="0"/>
        <w:jc w:val="both"/>
        <w:outlineLvl w:val="9"/>
        <w:rPr>
          <w:rFonts w:ascii="Times New Roman" w:hAnsi="Times New Roman" w:eastAsia="宋体" w:cs="Times New Roman"/>
          <w:b w:val="0"/>
          <w:bCs/>
          <w:kern w:val="28"/>
          <w:sz w:val="24"/>
          <w:szCs w:val="32"/>
          <w:lang w:val="zh-CN" w:eastAsia="zh-CN" w:bidi="ar-SA"/>
        </w:rPr>
      </w:pPr>
    </w:p>
    <w:p>
      <w:pPr>
        <w:widowControl w:val="0"/>
        <w:numPr>
          <w:ilvl w:val="0"/>
          <w:numId w:val="0"/>
        </w:numPr>
        <w:spacing w:before="0" w:after="0" w:line="360" w:lineRule="auto"/>
        <w:ind w:left="426" w:leftChars="203" w:firstLine="0" w:firstLineChars="0"/>
        <w:jc w:val="both"/>
        <w:outlineLvl w:val="9"/>
        <w:rPr>
          <w:rFonts w:ascii="Times New Roman" w:hAnsi="Times New Roman" w:eastAsia="宋体" w:cs="Times New Roman"/>
          <w:b w:val="0"/>
          <w:bCs/>
          <w:kern w:val="28"/>
          <w:sz w:val="24"/>
          <w:szCs w:val="32"/>
          <w:lang w:val="zh-CN" w:eastAsia="zh-CN" w:bidi="ar-SA"/>
        </w:rPr>
      </w:pPr>
    </w:p>
    <w:p>
      <w:pPr>
        <w:widowControl w:val="0"/>
        <w:numPr>
          <w:ilvl w:val="0"/>
          <w:numId w:val="0"/>
        </w:numPr>
        <w:spacing w:before="0" w:after="0" w:line="360" w:lineRule="auto"/>
        <w:ind w:left="426" w:leftChars="203" w:firstLine="0" w:firstLineChars="0"/>
        <w:jc w:val="both"/>
        <w:outlineLvl w:val="9"/>
        <w:rPr>
          <w:rFonts w:ascii="Times New Roman" w:hAnsi="Times New Roman" w:eastAsia="宋体" w:cs="Times New Roman"/>
          <w:b w:val="0"/>
          <w:bCs/>
          <w:kern w:val="28"/>
          <w:sz w:val="24"/>
          <w:szCs w:val="32"/>
          <w:lang w:val="zh-CN" w:eastAsia="zh-CN" w:bidi="ar-SA"/>
        </w:rPr>
      </w:pPr>
    </w:p>
    <w:p>
      <w:pPr>
        <w:widowControl w:val="0"/>
        <w:numPr>
          <w:ilvl w:val="0"/>
          <w:numId w:val="0"/>
        </w:numPr>
        <w:spacing w:before="0" w:after="0" w:line="360" w:lineRule="auto"/>
        <w:ind w:left="426" w:leftChars="203" w:firstLine="0" w:firstLineChars="0"/>
        <w:jc w:val="both"/>
        <w:outlineLvl w:val="9"/>
        <w:rPr>
          <w:rFonts w:ascii="Times New Roman" w:hAnsi="Times New Roman" w:eastAsia="宋体" w:cs="Times New Roman"/>
          <w:b w:val="0"/>
          <w:bCs/>
          <w:kern w:val="28"/>
          <w:sz w:val="24"/>
          <w:szCs w:val="32"/>
          <w:lang w:val="zh-CN" w:eastAsia="zh-CN" w:bidi="ar-SA"/>
        </w:rPr>
      </w:pPr>
    </w:p>
    <w:p>
      <w:pPr>
        <w:widowControl w:val="0"/>
        <w:numPr>
          <w:ilvl w:val="0"/>
          <w:numId w:val="0"/>
        </w:numPr>
        <w:spacing w:before="0" w:after="0" w:line="360" w:lineRule="auto"/>
        <w:ind w:left="426" w:leftChars="203" w:firstLine="0" w:firstLineChars="0"/>
        <w:jc w:val="both"/>
        <w:outlineLvl w:val="9"/>
        <w:rPr>
          <w:rFonts w:ascii="Times New Roman" w:hAnsi="Times New Roman" w:eastAsia="宋体" w:cs="Times New Roman"/>
          <w:b w:val="0"/>
          <w:bCs/>
          <w:kern w:val="28"/>
          <w:sz w:val="24"/>
          <w:szCs w:val="32"/>
          <w:lang w:val="zh-CN" w:eastAsia="zh-CN" w:bidi="ar-SA"/>
        </w:rPr>
      </w:pPr>
    </w:p>
    <w:p>
      <w:pPr>
        <w:widowControl w:val="0"/>
        <w:numPr>
          <w:ilvl w:val="0"/>
          <w:numId w:val="0"/>
        </w:numPr>
        <w:spacing w:before="0" w:after="0" w:line="360" w:lineRule="auto"/>
        <w:ind w:left="426" w:leftChars="203" w:firstLine="0" w:firstLineChars="0"/>
        <w:jc w:val="both"/>
        <w:outlineLvl w:val="9"/>
        <w:rPr>
          <w:rFonts w:ascii="Times New Roman" w:hAnsi="Times New Roman" w:eastAsia="宋体" w:cs="Times New Roman"/>
          <w:b w:val="0"/>
          <w:bCs/>
          <w:kern w:val="28"/>
          <w:sz w:val="24"/>
          <w:szCs w:val="32"/>
          <w:lang w:val="zh-CN" w:eastAsia="zh-CN" w:bidi="ar-SA"/>
        </w:rPr>
      </w:pPr>
    </w:p>
    <w:p>
      <w:pPr>
        <w:widowControl w:val="0"/>
        <w:numPr>
          <w:ilvl w:val="0"/>
          <w:numId w:val="0"/>
        </w:numPr>
        <w:spacing w:before="0" w:after="0" w:line="360" w:lineRule="auto"/>
        <w:ind w:left="426" w:leftChars="203" w:firstLine="0" w:firstLineChars="0"/>
        <w:jc w:val="both"/>
        <w:outlineLvl w:val="9"/>
        <w:rPr>
          <w:rFonts w:ascii="Times New Roman" w:hAnsi="Times New Roman" w:eastAsia="宋体" w:cs="Times New Roman"/>
          <w:b w:val="0"/>
          <w:bCs/>
          <w:kern w:val="28"/>
          <w:sz w:val="24"/>
          <w:szCs w:val="32"/>
          <w:lang w:val="zh-CN" w:eastAsia="zh-CN" w:bidi="ar-SA"/>
        </w:rPr>
      </w:pPr>
    </w:p>
    <w:p>
      <w:pPr>
        <w:widowControl w:val="0"/>
        <w:numPr>
          <w:ilvl w:val="0"/>
          <w:numId w:val="0"/>
        </w:numPr>
        <w:spacing w:before="0" w:after="0" w:line="360" w:lineRule="auto"/>
        <w:ind w:left="426" w:leftChars="203" w:firstLine="0" w:firstLineChars="0"/>
        <w:jc w:val="both"/>
        <w:outlineLvl w:val="9"/>
        <w:rPr>
          <w:rFonts w:ascii="Times New Roman" w:hAnsi="Times New Roman" w:eastAsia="宋体" w:cs="Times New Roman"/>
          <w:b w:val="0"/>
          <w:bCs/>
          <w:kern w:val="28"/>
          <w:sz w:val="24"/>
          <w:szCs w:val="32"/>
          <w:lang w:val="zh-CN" w:eastAsia="zh-CN" w:bidi="ar-SA"/>
        </w:rPr>
      </w:pPr>
    </w:p>
    <w:p>
      <w:pPr>
        <w:widowControl w:val="0"/>
        <w:numPr>
          <w:ilvl w:val="0"/>
          <w:numId w:val="0"/>
        </w:numPr>
        <w:spacing w:before="0" w:after="0" w:line="360" w:lineRule="auto"/>
        <w:ind w:left="426" w:leftChars="203" w:firstLine="0" w:firstLineChars="0"/>
        <w:jc w:val="both"/>
        <w:outlineLvl w:val="9"/>
        <w:rPr>
          <w:rFonts w:ascii="Times New Roman" w:hAnsi="Times New Roman" w:eastAsia="宋体" w:cs="Times New Roman"/>
          <w:b w:val="0"/>
          <w:bCs/>
          <w:kern w:val="28"/>
          <w:sz w:val="24"/>
          <w:szCs w:val="32"/>
          <w:lang w:val="zh-CN" w:eastAsia="zh-CN" w:bidi="ar-SA"/>
        </w:rPr>
      </w:pPr>
    </w:p>
    <w:p>
      <w:pPr>
        <w:widowControl w:val="0"/>
        <w:numPr>
          <w:ilvl w:val="0"/>
          <w:numId w:val="0"/>
        </w:numPr>
        <w:spacing w:before="0" w:after="0" w:line="360" w:lineRule="auto"/>
        <w:ind w:left="426" w:leftChars="203" w:firstLine="0" w:firstLineChars="0"/>
        <w:jc w:val="both"/>
        <w:outlineLvl w:val="9"/>
        <w:rPr>
          <w:rFonts w:ascii="Times New Roman" w:hAnsi="Times New Roman" w:eastAsia="宋体" w:cs="Times New Roman"/>
          <w:b w:val="0"/>
          <w:bCs/>
          <w:kern w:val="28"/>
          <w:sz w:val="24"/>
          <w:szCs w:val="32"/>
          <w:lang w:val="zh-CN" w:eastAsia="zh-CN" w:bidi="ar-SA"/>
        </w:rPr>
      </w:pPr>
    </w:p>
    <w:p>
      <w:pPr>
        <w:widowControl w:val="0"/>
        <w:numPr>
          <w:ilvl w:val="0"/>
          <w:numId w:val="0"/>
        </w:numPr>
        <w:spacing w:before="0" w:after="0" w:line="360" w:lineRule="auto"/>
        <w:ind w:left="426" w:leftChars="203" w:firstLine="0" w:firstLineChars="0"/>
        <w:jc w:val="both"/>
        <w:outlineLvl w:val="9"/>
        <w:rPr>
          <w:rFonts w:ascii="Times New Roman" w:hAnsi="Times New Roman" w:eastAsia="宋体" w:cs="Times New Roman"/>
          <w:b w:val="0"/>
          <w:bCs/>
          <w:kern w:val="28"/>
          <w:sz w:val="24"/>
          <w:szCs w:val="32"/>
          <w:lang w:val="zh-CN" w:eastAsia="zh-CN" w:bidi="ar-SA"/>
        </w:rPr>
      </w:pPr>
    </w:p>
    <w:p>
      <w:pPr>
        <w:widowControl w:val="0"/>
        <w:numPr>
          <w:ilvl w:val="0"/>
          <w:numId w:val="0"/>
        </w:numPr>
        <w:spacing w:before="0" w:after="0" w:line="360" w:lineRule="auto"/>
        <w:ind w:left="426" w:leftChars="203" w:firstLine="0" w:firstLineChars="0"/>
        <w:jc w:val="both"/>
        <w:outlineLvl w:val="9"/>
        <w:rPr>
          <w:rFonts w:ascii="Times New Roman" w:hAnsi="Times New Roman" w:eastAsia="宋体" w:cs="Times New Roman"/>
          <w:b w:val="0"/>
          <w:bCs/>
          <w:kern w:val="28"/>
          <w:sz w:val="24"/>
          <w:szCs w:val="32"/>
          <w:lang w:val="zh-CN" w:eastAsia="zh-CN" w:bidi="ar-SA"/>
        </w:rPr>
      </w:pPr>
    </w:p>
    <w:p>
      <w:pPr>
        <w:widowControl w:val="0"/>
        <w:numPr>
          <w:ilvl w:val="0"/>
          <w:numId w:val="0"/>
        </w:numPr>
        <w:spacing w:before="0" w:after="0" w:line="360" w:lineRule="auto"/>
        <w:ind w:left="426" w:leftChars="203" w:firstLine="0" w:firstLineChars="0"/>
        <w:jc w:val="both"/>
        <w:outlineLvl w:val="9"/>
        <w:rPr>
          <w:rFonts w:ascii="Times New Roman" w:hAnsi="Times New Roman" w:eastAsia="宋体" w:cs="Times New Roman"/>
          <w:b w:val="0"/>
          <w:bCs/>
          <w:kern w:val="28"/>
          <w:sz w:val="24"/>
          <w:szCs w:val="32"/>
          <w:lang w:val="zh-CN" w:eastAsia="zh-CN" w:bidi="ar-SA"/>
        </w:rPr>
      </w:pPr>
    </w:p>
    <w:p>
      <w:pPr>
        <w:widowControl w:val="0"/>
        <w:numPr>
          <w:ilvl w:val="0"/>
          <w:numId w:val="0"/>
        </w:numPr>
        <w:spacing w:before="0" w:after="0" w:line="360" w:lineRule="auto"/>
        <w:ind w:left="426" w:leftChars="203" w:firstLine="0" w:firstLineChars="0"/>
        <w:jc w:val="both"/>
        <w:outlineLvl w:val="9"/>
        <w:rPr>
          <w:rFonts w:hint="eastAsia" w:ascii="宋体" w:hAnsi="宋体" w:eastAsia="宋体" w:cs="宋体"/>
          <w:sz w:val="24"/>
          <w:szCs w:val="24"/>
        </w:rPr>
      </w:pPr>
    </w:p>
    <w:p>
      <w:pPr>
        <w:bidi w:val="0"/>
        <w:rPr>
          <w:rFonts w:hint="eastAsia" w:ascii="Times New Roman" w:hAnsi="Times New Roman" w:eastAsia="宋体" w:cstheme="minorBidi"/>
          <w:kern w:val="2"/>
          <w:sz w:val="21"/>
          <w:szCs w:val="21"/>
          <w:lang w:val="en-US" w:eastAsia="zh-CN" w:bidi="ar-SA"/>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tabs>
          <w:tab w:val="left" w:pos="1191"/>
        </w:tabs>
        <w:bidi w:val="0"/>
        <w:jc w:val="left"/>
        <w:rPr>
          <w:rFonts w:hint="eastAsia"/>
          <w:lang w:val="en-US" w:eastAsia="zh-CN"/>
        </w:rPr>
      </w:pPr>
    </w:p>
    <w:p>
      <w:pPr>
        <w:keepNext/>
        <w:keepLines/>
        <w:widowControl w:val="0"/>
        <w:numPr>
          <w:ilvl w:val="0"/>
          <w:numId w:val="0"/>
        </w:numPr>
        <w:spacing w:before="340" w:after="330" w:line="578" w:lineRule="auto"/>
        <w:ind w:left="425" w:leftChars="0" w:hanging="425" w:firstLineChars="0"/>
        <w:jc w:val="center"/>
        <w:outlineLvl w:val="0"/>
        <w:rPr>
          <w:rFonts w:ascii="Times New Roman" w:hAnsi="Times New Roman" w:eastAsia="宋体" w:cs="Times New Roman"/>
          <w:b/>
          <w:bCs/>
          <w:kern w:val="44"/>
          <w:sz w:val="28"/>
          <w:szCs w:val="28"/>
          <w:lang w:val="en-US" w:eastAsia="zh-CN" w:bidi="ar-SA"/>
        </w:rPr>
      </w:pPr>
      <w:r>
        <w:rPr>
          <w:rFonts w:hint="eastAsia" w:cs="Times New Roman"/>
          <w:b/>
          <w:bCs/>
          <w:kern w:val="44"/>
          <w:sz w:val="28"/>
          <w:szCs w:val="28"/>
          <w:lang w:val="en-US" w:eastAsia="zh-CN" w:bidi="ar-SA"/>
        </w:rPr>
        <w:t xml:space="preserve">3  </w:t>
      </w:r>
      <w:r>
        <w:rPr>
          <w:rFonts w:ascii="Times New Roman" w:hAnsi="Times New Roman" w:eastAsia="宋体" w:cs="Times New Roman"/>
          <w:b/>
          <w:bCs/>
          <w:kern w:val="44"/>
          <w:sz w:val="28"/>
          <w:szCs w:val="28"/>
          <w:lang w:val="en-US" w:eastAsia="zh-CN" w:bidi="ar-SA"/>
        </w:rPr>
        <w:t>基本规定</w:t>
      </w:r>
    </w:p>
    <w:p>
      <w:pPr>
        <w:widowControl w:val="0"/>
        <w:numPr>
          <w:ilvl w:val="0"/>
          <w:numId w:val="0"/>
        </w:numPr>
        <w:spacing w:before="0" w:after="0" w:line="360" w:lineRule="auto"/>
        <w:ind w:left="426" w:leftChars="203" w:firstLine="0" w:firstLineChars="0"/>
        <w:jc w:val="both"/>
        <w:outlineLvl w:val="9"/>
        <w:rPr>
          <w:rFonts w:hint="eastAsia" w:ascii="宋体" w:hAnsi="宋体" w:eastAsia="宋体" w:cs="宋体"/>
          <w:sz w:val="24"/>
          <w:szCs w:val="24"/>
        </w:rPr>
      </w:pPr>
      <w:r>
        <w:rPr>
          <w:rFonts w:hint="eastAsia" w:ascii="Times New Roman" w:hAnsi="Times New Roman" w:eastAsia="宋体" w:cs="Times New Roman"/>
          <w:b/>
          <w:bCs/>
          <w:kern w:val="28"/>
          <w:sz w:val="24"/>
          <w:szCs w:val="24"/>
          <w:lang w:val="zh-CN" w:eastAsia="zh-CN" w:bidi="ar-SA"/>
        </w:rPr>
        <w:t>3.0.</w:t>
      </w:r>
      <w:r>
        <w:rPr>
          <w:rFonts w:hint="eastAsia" w:cs="Times New Roman"/>
          <w:b/>
          <w:bCs/>
          <w:kern w:val="28"/>
          <w:sz w:val="24"/>
          <w:szCs w:val="24"/>
          <w:lang w:val="en-US" w:eastAsia="zh-CN" w:bidi="ar-SA"/>
        </w:rPr>
        <w:t xml:space="preserve">1  </w:t>
      </w:r>
      <w:r>
        <w:rPr>
          <w:rFonts w:hint="eastAsia" w:ascii="宋体" w:hAnsi="宋体" w:eastAsia="宋体" w:cs="宋体"/>
          <w:sz w:val="24"/>
          <w:szCs w:val="24"/>
        </w:rPr>
        <w:t>现行国家标准《绿色建筑评价标准》GB/T 50378以“以人为本”为核心要求，对建筑的安全耐久、健康舒适、生活便利、资源节约、环境宜居、提高与创新等方面的绿色性能进行综合评价。本规程将契合国家标准《绿色建筑评价标准》的要求，对绿色建筑的运行性能及效果提供检验依据。</w:t>
      </w:r>
    </w:p>
    <w:p>
      <w:pPr>
        <w:spacing w:line="360" w:lineRule="auto"/>
        <w:ind w:left="478" w:leftChars="228" w:firstLine="0" w:firstLineChars="0"/>
        <w:jc w:val="both"/>
        <w:rPr>
          <w:rFonts w:hint="eastAsia" w:ascii="宋体" w:hAnsi="宋体" w:eastAsia="宋体" w:cs="宋体"/>
          <w:sz w:val="24"/>
          <w:szCs w:val="24"/>
        </w:rPr>
      </w:pPr>
      <w:r>
        <w:rPr>
          <w:rFonts w:hint="eastAsia" w:ascii="Times New Roman" w:hAnsi="Times New Roman" w:eastAsia="宋体" w:cs="Times New Roman"/>
          <w:b/>
          <w:bCs/>
          <w:kern w:val="28"/>
          <w:sz w:val="24"/>
          <w:szCs w:val="24"/>
          <w:lang w:val="zh-CN" w:eastAsia="zh-CN" w:bidi="ar-SA"/>
        </w:rPr>
        <w:t>3.0.</w:t>
      </w:r>
      <w:r>
        <w:rPr>
          <w:rFonts w:hint="eastAsia" w:cs="Times New Roman"/>
          <w:b/>
          <w:bCs/>
          <w:kern w:val="28"/>
          <w:sz w:val="24"/>
          <w:szCs w:val="24"/>
          <w:lang w:val="en-US" w:eastAsia="zh-CN" w:bidi="ar-SA"/>
        </w:rPr>
        <w:t xml:space="preserve">2  </w:t>
      </w:r>
      <w:r>
        <w:rPr>
          <w:rFonts w:hint="eastAsia" w:ascii="宋体" w:hAnsi="宋体" w:eastAsia="宋体" w:cs="宋体"/>
          <w:sz w:val="24"/>
          <w:szCs w:val="24"/>
        </w:rPr>
        <w:t>国家标准《绿色建筑评价标准》GB/T 50378和地方标准《绿色建筑评价标准》SJG 47对绿色建筑在设计、施工，以及运行等各阶段提出了技术要求；《深圳经济特区绿色建筑条例》立足深圳地方特点及城市发展需求，进一步强化了绿色建筑运行主体的义务，确保建筑物符合绿色建筑等级的运行要求，保障建筑物绿色性能运行良好。</w:t>
      </w:r>
    </w:p>
    <w:p>
      <w:pPr>
        <w:spacing w:line="360" w:lineRule="auto"/>
        <w:ind w:left="478" w:leftChars="228" w:firstLine="0" w:firstLineChars="0"/>
        <w:jc w:val="both"/>
        <w:rPr>
          <w:rFonts w:hint="eastAsia" w:ascii="宋体" w:hAnsi="宋体" w:eastAsia="宋体" w:cs="宋体"/>
          <w:sz w:val="24"/>
          <w:szCs w:val="24"/>
        </w:rPr>
      </w:pPr>
      <w:r>
        <w:rPr>
          <w:rFonts w:hint="eastAsia" w:ascii="Times New Roman" w:hAnsi="Times New Roman" w:eastAsia="宋体" w:cs="Times New Roman"/>
          <w:b/>
          <w:bCs/>
          <w:kern w:val="28"/>
          <w:sz w:val="24"/>
          <w:szCs w:val="24"/>
          <w:lang w:val="zh-CN" w:eastAsia="zh-CN" w:bidi="ar-SA"/>
        </w:rPr>
        <w:t>3.0.</w:t>
      </w:r>
      <w:r>
        <w:rPr>
          <w:rFonts w:hint="eastAsia" w:cs="Times New Roman"/>
          <w:b/>
          <w:bCs/>
          <w:kern w:val="28"/>
          <w:sz w:val="24"/>
          <w:szCs w:val="24"/>
          <w:lang w:val="en-US" w:eastAsia="zh-CN" w:bidi="ar-SA"/>
        </w:rPr>
        <w:t xml:space="preserve">3  </w:t>
      </w:r>
      <w:r>
        <w:rPr>
          <w:rFonts w:hint="eastAsia" w:ascii="宋体" w:hAnsi="宋体" w:eastAsia="宋体" w:cs="宋体"/>
          <w:sz w:val="24"/>
          <w:szCs w:val="24"/>
        </w:rPr>
        <w:t>第1款，相应专业知识背景及技术能力是指包含但不限于建筑、结构、给排水、暖通、电气、环境监测、检测技术、运营管理等建筑工程专业领域，相应技术人员需熟悉如《绿色建筑评价标准》GB/T 50378等绿色建筑现行有关标准，且宜具备绿色建筑专业中级及以上技术职称或同等能力。</w:t>
      </w:r>
    </w:p>
    <w:p>
      <w:pPr>
        <w:spacing w:line="360" w:lineRule="auto"/>
        <w:ind w:left="478" w:leftChars="228" w:firstLine="480" w:firstLineChars="200"/>
        <w:jc w:val="both"/>
        <w:rPr>
          <w:rFonts w:hint="eastAsia" w:ascii="宋体" w:hAnsi="宋体" w:eastAsia="宋体" w:cs="宋体"/>
          <w:sz w:val="24"/>
          <w:szCs w:val="24"/>
        </w:rPr>
      </w:pPr>
      <w:r>
        <w:rPr>
          <w:rFonts w:hint="eastAsia" w:ascii="宋体" w:hAnsi="宋体" w:eastAsia="宋体" w:cs="宋体"/>
          <w:sz w:val="24"/>
          <w:szCs w:val="24"/>
        </w:rPr>
        <w:t>第2款，相应专业仪器设备的量程、精度等应满足相关标准要求，并在有效检测周期范围内开展检测工作。</w:t>
      </w:r>
    </w:p>
    <w:p>
      <w:pPr>
        <w:spacing w:line="360" w:lineRule="auto"/>
        <w:ind w:left="478" w:leftChars="228" w:firstLine="480" w:firstLineChars="200"/>
        <w:jc w:val="both"/>
        <w:rPr>
          <w:rFonts w:hint="eastAsia" w:ascii="宋体" w:hAnsi="宋体" w:eastAsia="宋体" w:cs="宋体"/>
          <w:sz w:val="24"/>
          <w:szCs w:val="24"/>
        </w:rPr>
      </w:pPr>
      <w:r>
        <w:rPr>
          <w:rFonts w:hint="eastAsia" w:ascii="宋体" w:hAnsi="宋体" w:eastAsia="宋体" w:cs="宋体"/>
          <w:sz w:val="24"/>
          <w:szCs w:val="24"/>
        </w:rPr>
        <w:t>第3款，明确规定绿色建筑运行效果及相关性能检验前需建立完善的运行检验方案，其核心目的在于确保检验工作科学、规范、有序开展。根据项目所确定的绿色建筑等级要求，对检验目标、范围、方法、流程、人员职责、质量控制措施等作出明确规定，合理规划检验时间节点与技术路线，可为检验人员提供清晰指引，保障检验工作符合相关标准要求。</w:t>
      </w:r>
    </w:p>
    <w:p>
      <w:pPr>
        <w:spacing w:line="360" w:lineRule="auto"/>
        <w:ind w:left="478" w:leftChars="228" w:firstLine="480" w:firstLineChars="200"/>
        <w:jc w:val="both"/>
        <w:rPr>
          <w:rFonts w:hint="eastAsia" w:ascii="宋体" w:hAnsi="宋体" w:eastAsia="宋体" w:cs="宋体"/>
          <w:sz w:val="24"/>
          <w:szCs w:val="24"/>
        </w:rPr>
      </w:pPr>
      <w:r>
        <w:rPr>
          <w:rFonts w:hint="eastAsia" w:ascii="宋体" w:hAnsi="宋体" w:eastAsia="宋体" w:cs="宋体"/>
          <w:sz w:val="24"/>
          <w:szCs w:val="24"/>
        </w:rPr>
        <w:t>第4款，国家标准《绿色建筑评价标准》GB/T 50378-2019（2024年版）第3.1.2条提出“绿色建筑评价应在建筑工程竣工后进行”，《深圳经济特区绿色建筑条例》第二十二条规定“区住房建设主管部门应当加强对绿色建筑运行使用情况的监督管理，定期抽取一定比例的建筑开展绿色建筑后评估工作”；因此，为保证绿色建筑在开展评价及后评估时，提供的运行检验数据和报告具有科学性和公信力，其检验数据和报告应由第三方机构出具，且第三方检测或检验机构应按规定具备相应的资质和能力。</w:t>
      </w:r>
    </w:p>
    <w:p>
      <w:pPr>
        <w:spacing w:line="360" w:lineRule="auto"/>
        <w:ind w:left="478" w:leftChars="228" w:firstLine="0" w:firstLineChars="0"/>
        <w:jc w:val="both"/>
        <w:rPr>
          <w:rFonts w:hint="eastAsia" w:ascii="宋体" w:hAnsi="宋体" w:eastAsia="宋体" w:cs="宋体"/>
          <w:sz w:val="24"/>
          <w:szCs w:val="24"/>
        </w:rPr>
      </w:pPr>
      <w:r>
        <w:rPr>
          <w:rFonts w:hint="eastAsia" w:ascii="宋体" w:hAnsi="宋体" w:eastAsia="宋体" w:cs="宋体"/>
          <w:sz w:val="24"/>
          <w:szCs w:val="24"/>
        </w:rPr>
        <w:t>当绿色建筑在开展除评价及后评估之外的工作时，其运行效果及</w:t>
      </w:r>
      <w:r>
        <w:rPr>
          <w:rFonts w:ascii="Times New Roman" w:hAnsi="Times New Roman" w:cs="Times New Roman"/>
          <w:i/>
          <w:sz w:val="24"/>
          <w:szCs w:val="24"/>
        </w:rPr>
        <w:t>相</w:t>
      </w:r>
      <w:r>
        <w:rPr>
          <w:rFonts w:hint="eastAsia" w:ascii="宋体" w:hAnsi="宋体" w:eastAsia="宋体" w:cs="宋体"/>
          <w:sz w:val="24"/>
          <w:szCs w:val="24"/>
        </w:rPr>
        <w:t>关性能的检验可参照本规程进行，且检验数据和报告不再要求具备相应资质和能力的第三方机构出具 。</w:t>
      </w:r>
    </w:p>
    <w:p>
      <w:pPr>
        <w:spacing w:line="360" w:lineRule="auto"/>
        <w:jc w:val="both"/>
        <w:rPr>
          <w:rFonts w:hint="eastAsia" w:ascii="宋体" w:hAnsi="宋体" w:eastAsia="宋体" w:cs="宋体"/>
          <w:sz w:val="24"/>
          <w:szCs w:val="24"/>
        </w:rPr>
      </w:pPr>
    </w:p>
    <w:p>
      <w:pPr>
        <w:spacing w:line="360" w:lineRule="auto"/>
        <w:ind w:left="478" w:leftChars="228" w:firstLine="0" w:firstLineChars="0"/>
        <w:jc w:val="both"/>
        <w:rPr>
          <w:rFonts w:hint="eastAsia" w:ascii="宋体" w:hAnsi="宋体" w:eastAsia="宋体" w:cs="宋体"/>
          <w:sz w:val="24"/>
          <w:szCs w:val="24"/>
        </w:rPr>
      </w:pPr>
    </w:p>
    <w:p>
      <w:pPr>
        <w:spacing w:line="360" w:lineRule="auto"/>
        <w:ind w:left="478" w:leftChars="228" w:firstLine="0" w:firstLineChars="0"/>
        <w:jc w:val="both"/>
        <w:rPr>
          <w:rFonts w:hint="eastAsia" w:ascii="宋体" w:hAnsi="宋体" w:eastAsia="宋体" w:cs="宋体"/>
          <w:sz w:val="24"/>
          <w:szCs w:val="24"/>
        </w:rPr>
        <w:sectPr>
          <w:headerReference r:id="rId16" w:type="default"/>
          <w:footerReference r:id="rId17" w:type="default"/>
          <w:pgSz w:w="11906" w:h="16838"/>
          <w:pgMar w:top="1610" w:right="1349" w:bottom="1213" w:left="1293" w:header="851" w:footer="992" w:gutter="0"/>
          <w:pgBorders>
            <w:top w:val="none" w:sz="0" w:space="0"/>
            <w:left w:val="none" w:sz="0" w:space="0"/>
            <w:bottom w:val="none" w:sz="0" w:space="0"/>
            <w:right w:val="none" w:sz="0" w:space="0"/>
          </w:pgBorders>
          <w:pgNumType w:fmt="decimal"/>
          <w:cols w:space="0" w:num="1"/>
          <w:rtlGutter w:val="0"/>
          <w:docGrid w:type="linesAndChars" w:linePitch="312" w:charSpace="0"/>
        </w:sectPr>
      </w:pPr>
    </w:p>
    <w:p>
      <w:pPr>
        <w:keepNext/>
        <w:keepLines/>
        <w:widowControl w:val="0"/>
        <w:numPr>
          <w:ilvl w:val="0"/>
          <w:numId w:val="0"/>
        </w:numPr>
        <w:spacing w:before="340" w:after="330" w:line="578" w:lineRule="auto"/>
        <w:ind w:left="425" w:leftChars="0" w:hanging="425" w:firstLineChars="0"/>
        <w:jc w:val="center"/>
        <w:outlineLvl w:val="0"/>
        <w:rPr>
          <w:rFonts w:ascii="Times New Roman" w:hAnsi="Times New Roman" w:eastAsia="宋体" w:cs="Times New Roman"/>
          <w:b/>
          <w:bCs/>
          <w:kern w:val="44"/>
          <w:sz w:val="28"/>
          <w:szCs w:val="28"/>
          <w:lang w:val="en-US" w:eastAsia="zh-CN" w:bidi="ar-SA"/>
        </w:rPr>
      </w:pPr>
      <w:r>
        <w:rPr>
          <w:rFonts w:hint="eastAsia" w:cs="Times New Roman"/>
          <w:b/>
          <w:bCs/>
          <w:kern w:val="44"/>
          <w:sz w:val="28"/>
          <w:szCs w:val="28"/>
          <w:lang w:val="en-US" w:eastAsia="zh-CN" w:bidi="ar-SA"/>
        </w:rPr>
        <w:t xml:space="preserve">4  </w:t>
      </w:r>
      <w:r>
        <w:rPr>
          <w:rFonts w:ascii="Times New Roman" w:hAnsi="Times New Roman" w:eastAsia="宋体" w:cs="Times New Roman"/>
          <w:b/>
          <w:bCs/>
          <w:kern w:val="44"/>
          <w:sz w:val="28"/>
          <w:szCs w:val="28"/>
          <w:lang w:val="en-US" w:eastAsia="zh-CN" w:bidi="ar-SA"/>
        </w:rPr>
        <w:t>安全耐久</w:t>
      </w:r>
    </w:p>
    <w:p>
      <w:pPr>
        <w:widowControl w:val="0"/>
        <w:numPr>
          <w:ilvl w:val="1"/>
          <w:numId w:val="0"/>
        </w:numPr>
        <w:spacing w:before="312" w:beforeLines="100" w:after="0" w:line="360" w:lineRule="auto"/>
        <w:ind w:left="567" w:leftChars="0" w:hanging="567" w:firstLineChars="0"/>
        <w:jc w:val="center"/>
        <w:outlineLvl w:val="1"/>
        <w:rPr>
          <w:rFonts w:ascii="Times New Roman" w:hAnsi="Times New Roman" w:eastAsia="黑体" w:cs="Times New Roman"/>
          <w:b/>
          <w:bCs/>
          <w:kern w:val="28"/>
          <w:sz w:val="24"/>
          <w:szCs w:val="32"/>
          <w:lang w:val="zh-CN" w:eastAsia="zh-CN" w:bidi="ar-SA"/>
        </w:rPr>
      </w:pPr>
      <w:r>
        <w:rPr>
          <w:rFonts w:hint="eastAsia" w:eastAsia="黑体" w:cs="Times New Roman"/>
          <w:b/>
          <w:bCs/>
          <w:kern w:val="28"/>
          <w:sz w:val="24"/>
          <w:szCs w:val="32"/>
          <w:lang w:val="en-US" w:eastAsia="zh-CN" w:bidi="ar-SA"/>
        </w:rPr>
        <w:t>4</w:t>
      </w:r>
      <w:r>
        <w:rPr>
          <w:rFonts w:hint="default" w:ascii="Times New Roman" w:hAnsi="Times New Roman" w:eastAsia="黑体" w:cs="Times New Roman"/>
          <w:b/>
          <w:bCs/>
          <w:kern w:val="28"/>
          <w:sz w:val="24"/>
          <w:szCs w:val="32"/>
          <w:lang w:val="zh-CN" w:eastAsia="zh-CN" w:bidi="ar-SA"/>
        </w:rPr>
        <w:t>.2</w:t>
      </w:r>
      <w:r>
        <w:rPr>
          <w:rFonts w:hint="eastAsia" w:eastAsia="黑体" w:cs="Times New Roman"/>
          <w:b/>
          <w:bCs/>
          <w:kern w:val="28"/>
          <w:sz w:val="24"/>
          <w:szCs w:val="32"/>
          <w:lang w:val="en-US" w:eastAsia="zh-CN" w:bidi="ar-SA"/>
        </w:rPr>
        <w:t xml:space="preserve"> </w:t>
      </w:r>
      <w:r>
        <w:rPr>
          <w:rFonts w:ascii="Times New Roman" w:hAnsi="Times New Roman" w:eastAsia="黑体" w:cs="Times New Roman"/>
          <w:b/>
          <w:bCs/>
          <w:kern w:val="28"/>
          <w:sz w:val="24"/>
          <w:szCs w:val="32"/>
          <w:lang w:val="zh-CN" w:eastAsia="zh-CN" w:bidi="ar-SA"/>
        </w:rPr>
        <w:t>安全</w:t>
      </w:r>
    </w:p>
    <w:p>
      <w:pPr>
        <w:widowControl w:val="0"/>
        <w:numPr>
          <w:ilvl w:val="2"/>
          <w:numId w:val="0"/>
        </w:numPr>
        <w:spacing w:before="0" w:after="0" w:line="360" w:lineRule="auto"/>
        <w:ind w:left="478" w:leftChars="228" w:firstLine="0" w:firstLineChars="0"/>
        <w:jc w:val="both"/>
        <w:outlineLvl w:val="9"/>
        <w:rPr>
          <w:rFonts w:ascii="Times New Roman" w:hAnsi="Times New Roman" w:cs="Times New Roman"/>
          <w:i/>
          <w:sz w:val="24"/>
          <w:szCs w:val="24"/>
        </w:rPr>
      </w:pPr>
      <w:r>
        <w:rPr>
          <w:rFonts w:hint="eastAsia" w:cs="Times New Roman"/>
          <w:b/>
          <w:bCs/>
          <w:color w:val="auto"/>
          <w:kern w:val="28"/>
          <w:sz w:val="24"/>
          <w:szCs w:val="24"/>
          <w:lang w:val="en-US" w:eastAsia="zh-CN" w:bidi="ar-SA"/>
        </w:rPr>
        <w:t>4</w:t>
      </w:r>
      <w:r>
        <w:rPr>
          <w:rFonts w:hint="default" w:ascii="Times New Roman" w:hAnsi="Times New Roman" w:eastAsia="宋体" w:cs="Times New Roman"/>
          <w:b/>
          <w:bCs/>
          <w:color w:val="auto"/>
          <w:kern w:val="28"/>
          <w:sz w:val="24"/>
          <w:szCs w:val="24"/>
          <w:lang w:val="zh-CN" w:eastAsia="zh-CN" w:bidi="ar-SA"/>
        </w:rPr>
        <w:t>.2.</w:t>
      </w:r>
      <w:r>
        <w:rPr>
          <w:rFonts w:hint="eastAsia" w:cs="Times New Roman"/>
          <w:b/>
          <w:bCs/>
          <w:color w:val="auto"/>
          <w:kern w:val="28"/>
          <w:sz w:val="24"/>
          <w:szCs w:val="24"/>
          <w:lang w:val="en-US" w:eastAsia="zh-CN" w:bidi="ar-SA"/>
        </w:rPr>
        <w:t xml:space="preserve">1  </w:t>
      </w:r>
      <w:r>
        <w:rPr>
          <w:rFonts w:hint="eastAsia" w:ascii="宋体" w:hAnsi="宋体" w:eastAsia="宋体" w:cs="宋体"/>
          <w:sz w:val="24"/>
          <w:szCs w:val="24"/>
        </w:rPr>
        <w:t>本条对应GB 50378-2019（2024版）中的4.1.1条，检验绿色建筑周围边坡挡墙、危险化学品危险源、易燃易爆火灾源以及防洪涝设施的安全性能。关注绿色建筑周围环境的安全性能变化，重在预防。</w:t>
      </w:r>
    </w:p>
    <w:p>
      <w:pPr>
        <w:spacing w:line="360" w:lineRule="auto"/>
        <w:ind w:left="478" w:leftChars="228" w:firstLine="0" w:firstLineChars="0"/>
        <w:jc w:val="both"/>
        <w:rPr>
          <w:rFonts w:ascii="Times New Roman" w:hAnsi="Times New Roman" w:cs="Times New Roman"/>
          <w:i/>
          <w:sz w:val="24"/>
          <w:szCs w:val="24"/>
        </w:rPr>
      </w:pPr>
      <w:r>
        <w:rPr>
          <w:rFonts w:hint="eastAsia" w:cs="Times New Roman"/>
          <w:b/>
          <w:bCs/>
          <w:color w:val="auto"/>
          <w:kern w:val="28"/>
          <w:sz w:val="24"/>
          <w:szCs w:val="24"/>
          <w:lang w:val="en-US" w:eastAsia="zh-CN" w:bidi="ar-SA"/>
        </w:rPr>
        <w:t>4</w:t>
      </w:r>
      <w:r>
        <w:rPr>
          <w:rFonts w:hint="default" w:ascii="Times New Roman" w:hAnsi="Times New Roman" w:eastAsia="宋体" w:cs="Times New Roman"/>
          <w:b/>
          <w:bCs/>
          <w:color w:val="auto"/>
          <w:kern w:val="28"/>
          <w:sz w:val="24"/>
          <w:szCs w:val="24"/>
          <w:lang w:val="zh-CN" w:eastAsia="zh-CN" w:bidi="ar-SA"/>
        </w:rPr>
        <w:t>.2.2</w:t>
      </w:r>
      <w:r>
        <w:rPr>
          <w:rFonts w:hint="eastAsia" w:cs="Times New Roman"/>
          <w:b/>
          <w:bCs/>
          <w:color w:val="auto"/>
          <w:kern w:val="28"/>
          <w:sz w:val="24"/>
          <w:szCs w:val="24"/>
          <w:lang w:val="en-US" w:eastAsia="zh-CN" w:bidi="ar-SA"/>
        </w:rPr>
        <w:t xml:space="preserve">  </w:t>
      </w:r>
      <w:r>
        <w:rPr>
          <w:rFonts w:hint="eastAsia" w:ascii="宋体" w:hAnsi="宋体" w:eastAsia="宋体" w:cs="宋体"/>
          <w:sz w:val="24"/>
          <w:szCs w:val="24"/>
        </w:rPr>
        <w:t>本条对应GB 50378-2019（2024版）中的4.1.1条，检验电磁辐射的安全性能。在运行阶段电磁辐射主要来源是周边环境的变化，所以在电磁辐射检验前应先调查判断周边环境的变化。</w:t>
      </w:r>
    </w:p>
    <w:p>
      <w:pPr>
        <w:spacing w:line="360" w:lineRule="auto"/>
        <w:ind w:left="478" w:leftChars="228" w:firstLine="0" w:firstLineChars="0"/>
        <w:jc w:val="both"/>
        <w:rPr>
          <w:rFonts w:hint="eastAsia" w:ascii="宋体" w:hAnsi="宋体" w:eastAsia="宋体" w:cs="宋体"/>
          <w:sz w:val="24"/>
          <w:szCs w:val="24"/>
        </w:rPr>
      </w:pPr>
      <w:r>
        <w:rPr>
          <w:rFonts w:hint="eastAsia" w:cs="Times New Roman"/>
          <w:b/>
          <w:bCs/>
          <w:color w:val="auto"/>
          <w:kern w:val="28"/>
          <w:sz w:val="24"/>
          <w:szCs w:val="24"/>
          <w:lang w:val="en-US" w:eastAsia="zh-CN" w:bidi="ar-SA"/>
        </w:rPr>
        <w:t>4</w:t>
      </w:r>
      <w:r>
        <w:rPr>
          <w:rFonts w:hint="default" w:ascii="Times New Roman" w:hAnsi="Times New Roman" w:eastAsia="宋体" w:cs="Times New Roman"/>
          <w:b/>
          <w:bCs/>
          <w:color w:val="auto"/>
          <w:kern w:val="28"/>
          <w:sz w:val="24"/>
          <w:szCs w:val="24"/>
          <w:lang w:val="zh-CN" w:eastAsia="zh-CN" w:bidi="ar-SA"/>
        </w:rPr>
        <w:t>.2.</w:t>
      </w:r>
      <w:r>
        <w:rPr>
          <w:rFonts w:hint="eastAsia" w:cs="Times New Roman"/>
          <w:b/>
          <w:bCs/>
          <w:color w:val="auto"/>
          <w:kern w:val="28"/>
          <w:sz w:val="24"/>
          <w:szCs w:val="24"/>
          <w:lang w:val="en-US" w:eastAsia="zh-CN" w:bidi="ar-SA"/>
        </w:rPr>
        <w:t xml:space="preserve">3  </w:t>
      </w:r>
      <w:r>
        <w:rPr>
          <w:rFonts w:hint="eastAsia" w:ascii="宋体" w:hAnsi="宋体" w:eastAsia="宋体" w:cs="宋体"/>
          <w:sz w:val="24"/>
          <w:szCs w:val="24"/>
        </w:rPr>
        <w:t>本条对应GB 50378-2019（2024版）中的4.1.2条，根据《深圳市既有房屋结构安全隐患排查技术标准》SJG 41，可从表观上检查建筑物是否存在安全隐患。该标准根据建筑物地基基础、上部结构以及改扩建情况等，排查建筑物实际存在的安全隐患，并根据排查情况分析判定建筑物安全类别，排查结论分A、B、C三类并对应给出处理建议。</w:t>
      </w:r>
    </w:p>
    <w:p>
      <w:pPr>
        <w:spacing w:line="360" w:lineRule="auto"/>
        <w:ind w:left="478" w:leftChars="228" w:firstLine="0" w:firstLineChars="0"/>
        <w:jc w:val="both"/>
        <w:rPr>
          <w:rFonts w:hint="eastAsia" w:ascii="宋体" w:hAnsi="宋体" w:eastAsia="宋体" w:cs="宋体"/>
          <w:sz w:val="24"/>
          <w:szCs w:val="24"/>
        </w:rPr>
      </w:pPr>
      <w:r>
        <w:rPr>
          <w:rFonts w:hint="eastAsia" w:cs="Times New Roman"/>
          <w:b/>
          <w:bCs/>
          <w:color w:val="auto"/>
          <w:kern w:val="28"/>
          <w:sz w:val="24"/>
          <w:szCs w:val="24"/>
          <w:lang w:val="en-US" w:eastAsia="zh-CN" w:bidi="ar-SA"/>
        </w:rPr>
        <w:t>4</w:t>
      </w:r>
      <w:r>
        <w:rPr>
          <w:rFonts w:hint="default" w:ascii="Times New Roman" w:hAnsi="Times New Roman" w:eastAsia="宋体" w:cs="Times New Roman"/>
          <w:b/>
          <w:bCs/>
          <w:color w:val="auto"/>
          <w:kern w:val="28"/>
          <w:sz w:val="24"/>
          <w:szCs w:val="24"/>
          <w:lang w:val="zh-CN" w:eastAsia="zh-CN" w:bidi="ar-SA"/>
        </w:rPr>
        <w:t>.2.</w:t>
      </w:r>
      <w:r>
        <w:rPr>
          <w:rFonts w:hint="eastAsia" w:cs="Times New Roman"/>
          <w:b/>
          <w:bCs/>
          <w:color w:val="auto"/>
          <w:kern w:val="28"/>
          <w:sz w:val="24"/>
          <w:szCs w:val="24"/>
          <w:lang w:val="en-US" w:eastAsia="zh-CN" w:bidi="ar-SA"/>
        </w:rPr>
        <w:t xml:space="preserve">4  </w:t>
      </w:r>
      <w:r>
        <w:rPr>
          <w:rFonts w:hint="eastAsia" w:ascii="宋体" w:hAnsi="宋体" w:eastAsia="宋体" w:cs="宋体"/>
          <w:sz w:val="24"/>
          <w:szCs w:val="24"/>
        </w:rPr>
        <w:t>本条对应GB 50378-2019（2024版）中的4.1.2条，检验幕墙的安全性能。按《既有建筑幕墙安全检查技术标准》S</w:t>
      </w:r>
      <w:r>
        <w:rPr>
          <w:rFonts w:hint="eastAsia" w:ascii="宋体" w:hAnsi="宋体" w:cs="宋体"/>
          <w:sz w:val="24"/>
          <w:szCs w:val="24"/>
          <w:lang w:val="en-US" w:eastAsia="zh-CN"/>
        </w:rPr>
        <w:t>J</w:t>
      </w:r>
      <w:r>
        <w:rPr>
          <w:rFonts w:hint="eastAsia" w:ascii="宋体" w:hAnsi="宋体" w:eastAsia="宋体" w:cs="宋体"/>
          <w:sz w:val="24"/>
          <w:szCs w:val="24"/>
        </w:rPr>
        <w:t>G 43的规定，既有建筑幕墙（包括玻璃面板雨棚）在正常使用期间，安全维护责任人或受委托单位应进行例行安全检查、定期安全检查、专项定期安全检查，并对应规定：</w:t>
      </w:r>
    </w:p>
    <w:p>
      <w:pPr>
        <w:spacing w:line="360" w:lineRule="auto"/>
        <w:ind w:left="478" w:leftChars="228" w:firstLine="0" w:firstLineChars="0"/>
        <w:jc w:val="both"/>
        <w:rPr>
          <w:rFonts w:hint="eastAsia" w:ascii="宋体" w:hAnsi="宋体" w:eastAsia="宋体" w:cs="宋体"/>
          <w:sz w:val="24"/>
          <w:szCs w:val="24"/>
        </w:rPr>
      </w:pPr>
      <w:r>
        <w:rPr>
          <w:rFonts w:hint="eastAsia" w:ascii="宋体" w:hAnsi="宋体" w:eastAsia="宋体" w:cs="宋体"/>
          <w:sz w:val="24"/>
          <w:szCs w:val="24"/>
        </w:rPr>
        <w:t>1例行安全检查：第一次例行安全检查应在交付使用日起6个月内完成。例行安全检查的时间间隔可根据《建筑幕墙使用维护说明书》的要求确定，但最长不应超过6个月。通过例行安全检查及时发现既有建筑幕墙正常使用期间出现的缺陷，并进行维修或更换。</w:t>
      </w:r>
    </w:p>
    <w:p>
      <w:pPr>
        <w:spacing w:line="360" w:lineRule="auto"/>
        <w:ind w:left="478" w:leftChars="228" w:firstLine="0" w:firstLineChars="0"/>
        <w:jc w:val="both"/>
        <w:rPr>
          <w:rFonts w:hint="eastAsia" w:ascii="宋体" w:hAnsi="宋体" w:eastAsia="宋体" w:cs="宋体"/>
          <w:sz w:val="24"/>
          <w:szCs w:val="24"/>
        </w:rPr>
      </w:pPr>
      <w:r>
        <w:rPr>
          <w:rFonts w:hint="eastAsia" w:ascii="宋体" w:hAnsi="宋体" w:eastAsia="宋体" w:cs="宋体"/>
          <w:sz w:val="24"/>
          <w:szCs w:val="24"/>
        </w:rPr>
        <w:t>2定期安全检查：既有建筑幕墙的第一次定期安全检查时间为工程竣工验收日起满6年</w:t>
      </w:r>
      <w:r>
        <w:rPr>
          <w:rFonts w:hint="eastAsia" w:ascii="宋体" w:hAnsi="宋体" w:cs="宋体"/>
          <w:sz w:val="24"/>
          <w:szCs w:val="24"/>
          <w:lang w:eastAsia="zh-CN"/>
        </w:rPr>
        <w:t>，</w:t>
      </w:r>
      <w:r>
        <w:rPr>
          <w:rFonts w:hint="eastAsia" w:ascii="宋体" w:hAnsi="宋体" w:eastAsia="宋体" w:cs="宋体"/>
          <w:sz w:val="24"/>
          <w:szCs w:val="24"/>
        </w:rPr>
        <w:t>若交付使用日早于竣工验收日或交付使用后未完成竣工验收，则按交付使用日起算。此后每5年进行一次。当既有建筑幕墙达到或超过设计使用年限时</w:t>
      </w:r>
      <w:r>
        <w:rPr>
          <w:rFonts w:hint="eastAsia" w:ascii="宋体" w:hAnsi="宋体" w:cs="宋体"/>
          <w:sz w:val="24"/>
          <w:szCs w:val="24"/>
          <w:lang w:eastAsia="zh-CN"/>
        </w:rPr>
        <w:t>，</w:t>
      </w:r>
      <w:r>
        <w:rPr>
          <w:rFonts w:hint="eastAsia" w:ascii="宋体" w:hAnsi="宋体" w:eastAsia="宋体" w:cs="宋体"/>
          <w:sz w:val="24"/>
          <w:szCs w:val="24"/>
        </w:rPr>
        <w:t>对已取得安全性鉴定报告且幕墙整体鉴定等级为Asu或已按照安全性鉴定报告要求完成全部问题处理的，每3年进行一次定期安全检查，否则应每年进行一次定期安全检查。根据定期安全检查结果，分析是否存在安全隐患，评定既有建筑幕墙的安全状况，对存在的安全隐患提出处理意见。</w:t>
      </w:r>
    </w:p>
    <w:p>
      <w:pPr>
        <w:spacing w:line="360" w:lineRule="auto"/>
        <w:ind w:left="478" w:leftChars="228" w:firstLine="0" w:firstLineChars="0"/>
        <w:jc w:val="both"/>
        <w:rPr>
          <w:rFonts w:hint="eastAsia" w:ascii="宋体" w:hAnsi="宋体" w:eastAsia="宋体" w:cs="宋体"/>
          <w:sz w:val="24"/>
          <w:szCs w:val="24"/>
        </w:rPr>
      </w:pPr>
      <w:r>
        <w:rPr>
          <w:rFonts w:hint="eastAsia" w:ascii="宋体" w:hAnsi="宋体" w:eastAsia="宋体" w:cs="宋体"/>
          <w:sz w:val="24"/>
          <w:szCs w:val="24"/>
        </w:rPr>
        <w:t>3专项定期安全检查：对施加预拉力的索杆张拉结构，第一次专项定期安全检查时间为工程竣工验收日起满4年，此后每3年进行一次;对采用硅酮结构密封胶粘接装配的不同部位，第一次专项定期安全检查时间为工程竣工验收日起满10年，此后每3年进行一次;若交付使用日早于竣工验收日或交付使用后未完成竣工验收</w:t>
      </w:r>
      <w:r>
        <w:rPr>
          <w:rFonts w:hint="eastAsia" w:ascii="宋体" w:hAnsi="宋体" w:cs="宋体"/>
          <w:sz w:val="24"/>
          <w:szCs w:val="24"/>
          <w:lang w:eastAsia="zh-CN"/>
        </w:rPr>
        <w:t>，</w:t>
      </w:r>
      <w:r>
        <w:rPr>
          <w:rFonts w:hint="eastAsia" w:ascii="宋体" w:hAnsi="宋体" w:eastAsia="宋体" w:cs="宋体"/>
          <w:sz w:val="24"/>
          <w:szCs w:val="24"/>
        </w:rPr>
        <w:t>则按交付使用日起算。当既有建筑幕墙达到或超过设计使用年限时</w:t>
      </w:r>
      <w:r>
        <w:rPr>
          <w:rFonts w:hint="eastAsia" w:ascii="宋体" w:hAnsi="宋体" w:cs="宋体"/>
          <w:sz w:val="24"/>
          <w:szCs w:val="24"/>
          <w:lang w:eastAsia="zh-CN"/>
        </w:rPr>
        <w:t>，</w:t>
      </w:r>
      <w:r>
        <w:rPr>
          <w:rFonts w:hint="eastAsia" w:ascii="宋体" w:hAnsi="宋体" w:eastAsia="宋体" w:cs="宋体"/>
          <w:sz w:val="24"/>
          <w:szCs w:val="24"/>
        </w:rPr>
        <w:t>对已取得安全性鉴定报告且幕墙整体鉴定等级为Asu或已按照安全性鉴定报告要求完成全部问题处理的，上述两个专项定期安全检查的时间间隔为2年，否则时间间隔为1年。根据专项定期安全检查结果，分析评定专项检查项目的安全状况，对存在的安全隐患提出处理意见。</w:t>
      </w:r>
    </w:p>
    <w:p>
      <w:pPr>
        <w:spacing w:line="360" w:lineRule="auto"/>
        <w:ind w:left="478" w:leftChars="228" w:firstLine="0" w:firstLineChars="0"/>
        <w:jc w:val="both"/>
        <w:rPr>
          <w:rFonts w:ascii="Times New Roman" w:hAnsi="Times New Roman" w:cs="Times New Roman"/>
          <w:i/>
          <w:sz w:val="24"/>
          <w:szCs w:val="24"/>
        </w:rPr>
      </w:pPr>
      <w:r>
        <w:rPr>
          <w:rFonts w:hint="eastAsia" w:ascii="宋体" w:hAnsi="宋体" w:eastAsia="宋体" w:cs="宋体"/>
          <w:sz w:val="24"/>
          <w:szCs w:val="24"/>
        </w:rPr>
        <w:t>绿色建筑幕墙、玻璃面板雨棚的检验，当处在定期安全检查覆盖期间时，该定期安全检查报告可作为本次检查报告。</w:t>
      </w:r>
    </w:p>
    <w:p>
      <w:pPr>
        <w:spacing w:line="360" w:lineRule="auto"/>
        <w:ind w:left="478" w:leftChars="228" w:firstLine="0" w:firstLineChars="0"/>
        <w:jc w:val="both"/>
        <w:rPr>
          <w:rFonts w:hint="eastAsia" w:ascii="宋体" w:hAnsi="宋体" w:eastAsia="宋体" w:cs="宋体"/>
          <w:sz w:val="24"/>
          <w:szCs w:val="24"/>
        </w:rPr>
      </w:pPr>
      <w:r>
        <w:rPr>
          <w:rFonts w:hint="eastAsia" w:cs="Times New Roman"/>
          <w:b/>
          <w:bCs/>
          <w:color w:val="auto"/>
          <w:kern w:val="28"/>
          <w:sz w:val="24"/>
          <w:szCs w:val="24"/>
          <w:lang w:val="en-US" w:eastAsia="zh-CN" w:bidi="ar-SA"/>
        </w:rPr>
        <w:t>4</w:t>
      </w:r>
      <w:r>
        <w:rPr>
          <w:rFonts w:hint="default" w:ascii="Times New Roman" w:hAnsi="Times New Roman" w:eastAsia="宋体" w:cs="Times New Roman"/>
          <w:b/>
          <w:bCs/>
          <w:color w:val="auto"/>
          <w:kern w:val="28"/>
          <w:sz w:val="24"/>
          <w:szCs w:val="24"/>
          <w:lang w:val="zh-CN" w:eastAsia="zh-CN" w:bidi="ar-SA"/>
        </w:rPr>
        <w:t>.2.5</w:t>
      </w:r>
      <w:r>
        <w:rPr>
          <w:rFonts w:hint="eastAsia" w:cs="Times New Roman"/>
          <w:b/>
          <w:bCs/>
          <w:color w:val="auto"/>
          <w:kern w:val="28"/>
          <w:sz w:val="24"/>
          <w:szCs w:val="24"/>
          <w:lang w:val="en-US" w:eastAsia="zh-CN" w:bidi="ar-SA"/>
        </w:rPr>
        <w:t xml:space="preserve">  </w:t>
      </w:r>
      <w:r>
        <w:rPr>
          <w:rFonts w:hint="eastAsia" w:ascii="宋体" w:hAnsi="宋体" w:eastAsia="宋体" w:cs="宋体"/>
          <w:sz w:val="24"/>
          <w:szCs w:val="24"/>
        </w:rPr>
        <w:t>本条对应GB 50378-2019（2024版）中的4.1.2条，检验建筑外墙围护结构的安全性能，外墙饰面层是建筑外墙围护的一部分，外墙饰面层包括粉刷层、瓷砖粘贴层等，饰面层脱落导致高空坠物。</w:t>
      </w:r>
    </w:p>
    <w:p>
      <w:pPr>
        <w:spacing w:line="360" w:lineRule="auto"/>
        <w:ind w:left="478" w:leftChars="228" w:firstLine="0" w:firstLineChars="0"/>
        <w:jc w:val="both"/>
        <w:rPr>
          <w:rFonts w:hint="eastAsia" w:ascii="宋体" w:hAnsi="宋体" w:eastAsia="宋体" w:cs="宋体"/>
          <w:sz w:val="24"/>
          <w:szCs w:val="24"/>
        </w:rPr>
      </w:pPr>
      <w:r>
        <w:rPr>
          <w:rFonts w:hint="eastAsia" w:cs="Times New Roman"/>
          <w:b/>
          <w:bCs/>
          <w:color w:val="auto"/>
          <w:kern w:val="28"/>
          <w:sz w:val="24"/>
          <w:szCs w:val="24"/>
          <w:lang w:val="en-US" w:eastAsia="zh-CN" w:bidi="ar-SA"/>
        </w:rPr>
        <w:t>4</w:t>
      </w:r>
      <w:r>
        <w:rPr>
          <w:rFonts w:hint="default" w:ascii="Times New Roman" w:hAnsi="Times New Roman" w:eastAsia="宋体" w:cs="Times New Roman"/>
          <w:b/>
          <w:bCs/>
          <w:color w:val="auto"/>
          <w:kern w:val="28"/>
          <w:sz w:val="24"/>
          <w:szCs w:val="24"/>
          <w:lang w:val="zh-CN" w:eastAsia="zh-CN" w:bidi="ar-SA"/>
        </w:rPr>
        <w:t>.2.6</w:t>
      </w:r>
      <w:r>
        <w:rPr>
          <w:rFonts w:hint="eastAsia" w:cs="Times New Roman"/>
          <w:b/>
          <w:bCs/>
          <w:color w:val="auto"/>
          <w:kern w:val="28"/>
          <w:sz w:val="24"/>
          <w:szCs w:val="24"/>
          <w:lang w:val="en-US" w:eastAsia="zh-CN" w:bidi="ar-SA"/>
        </w:rPr>
        <w:t xml:space="preserve">  </w:t>
      </w:r>
      <w:r>
        <w:rPr>
          <w:rFonts w:hint="eastAsia" w:ascii="宋体" w:hAnsi="宋体" w:eastAsia="宋体" w:cs="宋体"/>
          <w:sz w:val="24"/>
          <w:szCs w:val="24"/>
        </w:rPr>
        <w:t>本条对应GB 50378-2019（2024版）中的4.1.2、4.1.5与4.2.3条，检验门窗的安全性能，当对门窗的抗风压性能有怀疑时，可进行现场抗风压检测。</w:t>
      </w:r>
    </w:p>
    <w:p>
      <w:pPr>
        <w:spacing w:line="360" w:lineRule="auto"/>
        <w:ind w:left="478" w:leftChars="228" w:firstLine="0" w:firstLineChars="0"/>
        <w:jc w:val="both"/>
        <w:rPr>
          <w:rFonts w:hint="eastAsia" w:ascii="宋体" w:hAnsi="宋体" w:eastAsia="宋体" w:cs="宋体"/>
          <w:sz w:val="24"/>
          <w:szCs w:val="24"/>
        </w:rPr>
      </w:pPr>
      <w:r>
        <w:rPr>
          <w:rFonts w:hint="eastAsia" w:cs="Times New Roman"/>
          <w:b/>
          <w:bCs/>
          <w:color w:val="auto"/>
          <w:kern w:val="28"/>
          <w:sz w:val="24"/>
          <w:szCs w:val="24"/>
          <w:lang w:val="en-US" w:eastAsia="zh-CN" w:bidi="ar-SA"/>
        </w:rPr>
        <w:t>4</w:t>
      </w:r>
      <w:r>
        <w:rPr>
          <w:rFonts w:hint="default" w:ascii="Times New Roman" w:hAnsi="Times New Roman" w:eastAsia="宋体" w:cs="Times New Roman"/>
          <w:b/>
          <w:bCs/>
          <w:color w:val="auto"/>
          <w:kern w:val="28"/>
          <w:sz w:val="24"/>
          <w:szCs w:val="24"/>
          <w:lang w:val="zh-CN" w:eastAsia="zh-CN" w:bidi="ar-SA"/>
        </w:rPr>
        <w:t>.2.7</w:t>
      </w:r>
      <w:r>
        <w:rPr>
          <w:rFonts w:hint="eastAsia" w:cs="Times New Roman"/>
          <w:b/>
          <w:bCs/>
          <w:color w:val="auto"/>
          <w:kern w:val="28"/>
          <w:sz w:val="24"/>
          <w:szCs w:val="24"/>
          <w:lang w:val="en-US" w:eastAsia="zh-CN" w:bidi="ar-SA"/>
        </w:rPr>
        <w:t xml:space="preserve">  </w:t>
      </w:r>
      <w:r>
        <w:rPr>
          <w:rFonts w:hint="eastAsia" w:ascii="宋体" w:hAnsi="宋体" w:eastAsia="宋体" w:cs="宋体"/>
          <w:sz w:val="24"/>
          <w:szCs w:val="24"/>
        </w:rPr>
        <w:t>本条对应GB 50378-2019（2024版）中的4.1.4条，检验所有建筑内外部固定在楼面、墙面、屋面上的防护栏杆、栏板的安全性能。</w:t>
      </w:r>
    </w:p>
    <w:p>
      <w:pPr>
        <w:spacing w:line="360" w:lineRule="auto"/>
        <w:ind w:left="478" w:leftChars="228" w:firstLine="0" w:firstLineChars="0"/>
        <w:jc w:val="both"/>
        <w:rPr>
          <w:rFonts w:hint="eastAsia" w:ascii="宋体" w:hAnsi="宋体" w:eastAsia="宋体" w:cs="宋体"/>
          <w:sz w:val="24"/>
          <w:szCs w:val="24"/>
        </w:rPr>
      </w:pPr>
      <w:r>
        <w:rPr>
          <w:rFonts w:hint="eastAsia" w:cs="Times New Roman"/>
          <w:b/>
          <w:bCs w:val="0"/>
          <w:color w:val="auto"/>
          <w:kern w:val="28"/>
          <w:sz w:val="24"/>
          <w:szCs w:val="24"/>
          <w:lang w:val="en-US" w:eastAsia="zh-CN" w:bidi="ar-SA"/>
        </w:rPr>
        <w:t>4</w:t>
      </w:r>
      <w:r>
        <w:rPr>
          <w:rFonts w:hint="default" w:ascii="Times New Roman" w:hAnsi="Times New Roman" w:eastAsia="宋体" w:cs="Times New Roman"/>
          <w:b/>
          <w:bCs w:val="0"/>
          <w:color w:val="auto"/>
          <w:kern w:val="28"/>
          <w:sz w:val="24"/>
          <w:szCs w:val="24"/>
          <w:lang w:val="zh-CN" w:eastAsia="zh-CN" w:bidi="ar-SA"/>
        </w:rPr>
        <w:t>.2.8</w:t>
      </w:r>
      <w:r>
        <w:rPr>
          <w:rFonts w:hint="eastAsia" w:cs="Times New Roman"/>
          <w:b/>
          <w:bCs w:val="0"/>
          <w:color w:val="auto"/>
          <w:kern w:val="28"/>
          <w:sz w:val="24"/>
          <w:szCs w:val="24"/>
          <w:lang w:val="en-US" w:eastAsia="zh-CN" w:bidi="ar-SA"/>
        </w:rPr>
        <w:t xml:space="preserve">  </w:t>
      </w:r>
      <w:r>
        <w:rPr>
          <w:rFonts w:hint="eastAsia" w:ascii="宋体" w:hAnsi="宋体" w:eastAsia="宋体" w:cs="宋体"/>
          <w:sz w:val="24"/>
          <w:szCs w:val="24"/>
        </w:rPr>
        <w:t>本条对应GB 50378-2019（2024版）中的4.1.3条，检验外部设施包括外遮阳、太阳能设施、空调室外机位、外墙花池、屋顶装饰构架等的安全性能。</w:t>
      </w:r>
    </w:p>
    <w:p>
      <w:pPr>
        <w:spacing w:line="360" w:lineRule="auto"/>
        <w:ind w:left="478" w:leftChars="228" w:firstLine="0" w:firstLineChars="0"/>
        <w:jc w:val="both"/>
        <w:rPr>
          <w:rFonts w:hint="eastAsia" w:ascii="宋体" w:hAnsi="宋体" w:eastAsia="宋体" w:cs="宋体"/>
          <w:sz w:val="24"/>
          <w:szCs w:val="24"/>
        </w:rPr>
      </w:pPr>
      <w:r>
        <w:rPr>
          <w:rFonts w:hint="eastAsia" w:cs="Times New Roman"/>
          <w:b/>
          <w:bCs/>
          <w:color w:val="auto"/>
          <w:kern w:val="28"/>
          <w:sz w:val="24"/>
          <w:szCs w:val="24"/>
          <w:lang w:val="en-US" w:eastAsia="zh-CN" w:bidi="ar-SA"/>
        </w:rPr>
        <w:t>4</w:t>
      </w:r>
      <w:r>
        <w:rPr>
          <w:rFonts w:hint="default" w:ascii="Times New Roman" w:hAnsi="Times New Roman" w:eastAsia="宋体" w:cs="Times New Roman"/>
          <w:b/>
          <w:bCs/>
          <w:color w:val="auto"/>
          <w:kern w:val="28"/>
          <w:sz w:val="24"/>
          <w:szCs w:val="24"/>
          <w:lang w:val="zh-CN" w:eastAsia="zh-CN" w:bidi="ar-SA"/>
        </w:rPr>
        <w:t>.2.9</w:t>
      </w:r>
      <w:r>
        <w:rPr>
          <w:rFonts w:hint="eastAsia" w:cs="Times New Roman"/>
          <w:b/>
          <w:bCs/>
          <w:color w:val="auto"/>
          <w:kern w:val="28"/>
          <w:sz w:val="24"/>
          <w:szCs w:val="24"/>
          <w:lang w:val="en-US" w:eastAsia="zh-CN" w:bidi="ar-SA"/>
        </w:rPr>
        <w:t xml:space="preserve">  </w:t>
      </w:r>
      <w:r>
        <w:rPr>
          <w:rFonts w:hint="eastAsia" w:ascii="宋体" w:hAnsi="宋体" w:eastAsia="宋体" w:cs="宋体"/>
          <w:sz w:val="24"/>
          <w:szCs w:val="24"/>
        </w:rPr>
        <w:t xml:space="preserve">本条对应GB 50378-2019（2024版）中的4.1.4条，检验建筑内部的非结构构件，主要包括内部非承重墙体（砌筑填充墙、装配式内隔墙板及室内门窗），装饰构件和部件，固定于楼面的大型储物架、移动式档案密集柜等。 </w:t>
      </w:r>
    </w:p>
    <w:p>
      <w:pPr>
        <w:widowControl w:val="0"/>
        <w:numPr>
          <w:ilvl w:val="0"/>
          <w:numId w:val="0"/>
        </w:numPr>
        <w:spacing w:before="0" w:after="0" w:line="360" w:lineRule="auto"/>
        <w:ind w:left="478" w:leftChars="228" w:firstLine="0" w:firstLineChars="0"/>
        <w:jc w:val="both"/>
        <w:outlineLvl w:val="9"/>
        <w:rPr>
          <w:rFonts w:ascii="Times New Roman" w:hAnsi="Times New Roman" w:cs="Times New Roman"/>
          <w:i/>
          <w:sz w:val="24"/>
          <w:szCs w:val="24"/>
        </w:rPr>
      </w:pPr>
      <w:r>
        <w:rPr>
          <w:rFonts w:hint="eastAsia" w:cs="Times New Roman"/>
          <w:b/>
          <w:bCs/>
          <w:color w:val="auto"/>
          <w:kern w:val="28"/>
          <w:sz w:val="24"/>
          <w:szCs w:val="24"/>
          <w:lang w:val="en-US" w:eastAsia="zh-CN" w:bidi="ar-SA"/>
        </w:rPr>
        <w:t>4</w:t>
      </w:r>
      <w:r>
        <w:rPr>
          <w:rFonts w:hint="default" w:ascii="Times New Roman" w:hAnsi="Times New Roman" w:eastAsia="宋体" w:cs="Times New Roman"/>
          <w:b/>
          <w:bCs/>
          <w:color w:val="auto"/>
          <w:kern w:val="28"/>
          <w:sz w:val="24"/>
          <w:szCs w:val="24"/>
          <w:lang w:val="zh-CN" w:eastAsia="zh-CN" w:bidi="ar-SA"/>
        </w:rPr>
        <w:t>.2.10</w:t>
      </w:r>
      <w:r>
        <w:rPr>
          <w:rFonts w:hint="eastAsia" w:cs="Times New Roman"/>
          <w:b/>
          <w:bCs/>
          <w:color w:val="auto"/>
          <w:kern w:val="28"/>
          <w:sz w:val="24"/>
          <w:szCs w:val="24"/>
          <w:lang w:val="en-US" w:eastAsia="zh-CN" w:bidi="ar-SA"/>
        </w:rPr>
        <w:t xml:space="preserve">  </w:t>
      </w:r>
      <w:r>
        <w:rPr>
          <w:rFonts w:hint="eastAsia" w:ascii="宋体" w:hAnsi="宋体" w:eastAsia="宋体" w:cs="宋体"/>
          <w:sz w:val="24"/>
          <w:szCs w:val="24"/>
        </w:rPr>
        <w:t>本条对应GB 50378-2019（2024版）中的4.1.4条，检验建筑内部设备与建筑结构的连接主要包括电梯、照明和应急电源、通信设备、管道系统、供暖和空气调节系统、烟火监测和消防系统、公用天线等与建筑结构连接牢固性及变形协调性。</w:t>
      </w:r>
    </w:p>
    <w:p>
      <w:pPr>
        <w:widowControl w:val="0"/>
        <w:numPr>
          <w:ilvl w:val="0"/>
          <w:numId w:val="0"/>
        </w:numPr>
        <w:spacing w:before="0" w:after="0" w:line="360" w:lineRule="auto"/>
        <w:ind w:left="478" w:leftChars="228" w:firstLine="0" w:firstLineChars="0"/>
        <w:jc w:val="both"/>
        <w:outlineLvl w:val="9"/>
        <w:rPr>
          <w:rFonts w:hint="eastAsia" w:ascii="宋体" w:hAnsi="宋体" w:eastAsia="宋体" w:cs="宋体"/>
          <w:sz w:val="24"/>
          <w:szCs w:val="24"/>
        </w:rPr>
      </w:pPr>
      <w:r>
        <w:rPr>
          <w:rFonts w:hint="eastAsia" w:cs="Times New Roman"/>
          <w:b/>
          <w:bCs/>
          <w:color w:val="auto"/>
          <w:kern w:val="28"/>
          <w:sz w:val="24"/>
          <w:szCs w:val="24"/>
          <w:lang w:val="en-US" w:eastAsia="zh-CN" w:bidi="ar-SA"/>
        </w:rPr>
        <w:t>4</w:t>
      </w:r>
      <w:r>
        <w:rPr>
          <w:rFonts w:hint="default" w:ascii="Times New Roman" w:hAnsi="Times New Roman" w:eastAsia="宋体" w:cs="Times New Roman"/>
          <w:b/>
          <w:bCs/>
          <w:color w:val="auto"/>
          <w:kern w:val="28"/>
          <w:sz w:val="24"/>
          <w:szCs w:val="24"/>
          <w:lang w:val="zh-CN" w:eastAsia="zh-CN" w:bidi="ar-SA"/>
        </w:rPr>
        <w:t>.2.11</w:t>
      </w:r>
      <w:r>
        <w:rPr>
          <w:rFonts w:hint="eastAsia" w:cs="Times New Roman"/>
          <w:b/>
          <w:bCs/>
          <w:color w:val="auto"/>
          <w:kern w:val="28"/>
          <w:sz w:val="24"/>
          <w:szCs w:val="24"/>
          <w:lang w:val="en-US" w:eastAsia="zh-CN" w:bidi="ar-SA"/>
        </w:rPr>
        <w:t xml:space="preserve">  </w:t>
      </w:r>
      <w:r>
        <w:rPr>
          <w:rFonts w:hint="eastAsia" w:ascii="宋体" w:hAnsi="宋体" w:eastAsia="宋体" w:cs="宋体"/>
          <w:sz w:val="24"/>
          <w:szCs w:val="24"/>
        </w:rPr>
        <w:t>本条对应GB 50378-2019（2024版）中的4.1.4条，检验建筑附属设施与建筑结构的连接，主要包括整体卫生间、固定在墙体上的橱柜、书架等连接。</w:t>
      </w:r>
    </w:p>
    <w:p>
      <w:pPr>
        <w:widowControl w:val="0"/>
        <w:numPr>
          <w:ilvl w:val="2"/>
          <w:numId w:val="0"/>
        </w:numPr>
        <w:spacing w:before="0" w:after="0" w:line="360" w:lineRule="auto"/>
        <w:ind w:left="478" w:leftChars="228" w:firstLine="0" w:firstLineChars="0"/>
        <w:jc w:val="both"/>
        <w:outlineLvl w:val="9"/>
        <w:rPr>
          <w:rFonts w:hint="eastAsia" w:ascii="宋体" w:hAnsi="宋体" w:eastAsia="宋体" w:cs="宋体"/>
          <w:sz w:val="24"/>
          <w:szCs w:val="24"/>
        </w:rPr>
      </w:pPr>
      <w:r>
        <w:rPr>
          <w:rFonts w:hint="eastAsia" w:cs="Times New Roman"/>
          <w:b/>
          <w:bCs/>
          <w:color w:val="auto"/>
          <w:kern w:val="28"/>
          <w:sz w:val="24"/>
          <w:szCs w:val="24"/>
          <w:lang w:val="en-US" w:eastAsia="zh-CN" w:bidi="ar-SA"/>
        </w:rPr>
        <w:t>4</w:t>
      </w:r>
      <w:r>
        <w:rPr>
          <w:rFonts w:hint="default" w:ascii="Times New Roman" w:hAnsi="Times New Roman" w:eastAsia="宋体" w:cs="Times New Roman"/>
          <w:b/>
          <w:bCs/>
          <w:color w:val="auto"/>
          <w:kern w:val="28"/>
          <w:sz w:val="24"/>
          <w:szCs w:val="24"/>
          <w:lang w:val="zh-CN" w:eastAsia="zh-CN" w:bidi="ar-SA"/>
        </w:rPr>
        <w:t>.2.12</w:t>
      </w:r>
      <w:r>
        <w:rPr>
          <w:rFonts w:hint="eastAsia" w:cs="Times New Roman"/>
          <w:b/>
          <w:bCs/>
          <w:color w:val="auto"/>
          <w:kern w:val="28"/>
          <w:sz w:val="24"/>
          <w:szCs w:val="24"/>
          <w:lang w:val="en-US" w:eastAsia="zh-CN" w:bidi="ar-SA"/>
        </w:rPr>
        <w:t xml:space="preserve">  </w:t>
      </w:r>
      <w:r>
        <w:rPr>
          <w:rFonts w:hint="eastAsia" w:ascii="宋体" w:hAnsi="宋体" w:eastAsia="宋体" w:cs="宋体"/>
          <w:sz w:val="24"/>
          <w:szCs w:val="24"/>
        </w:rPr>
        <w:t>本条对应GB 50378-2019（2024版）中的4.1.6条，检验绿色建筑外墙、屋面、厨卫、阳台等所有可能存在渗水的区域。</w:t>
      </w:r>
    </w:p>
    <w:p>
      <w:pPr>
        <w:widowControl w:val="0"/>
        <w:numPr>
          <w:ilvl w:val="2"/>
          <w:numId w:val="0"/>
        </w:numPr>
        <w:spacing w:before="0" w:after="0" w:line="360" w:lineRule="auto"/>
        <w:ind w:firstLine="480" w:firstLineChars="200"/>
        <w:jc w:val="both"/>
        <w:outlineLvl w:val="9"/>
        <w:rPr>
          <w:rFonts w:hint="eastAsia" w:ascii="宋体" w:hAnsi="宋体" w:eastAsia="宋体" w:cs="宋体"/>
          <w:sz w:val="24"/>
          <w:szCs w:val="24"/>
        </w:rPr>
      </w:pPr>
      <w:r>
        <w:rPr>
          <w:rFonts w:hint="eastAsia" w:cs="Times New Roman"/>
          <w:b/>
          <w:bCs/>
          <w:color w:val="auto"/>
          <w:kern w:val="28"/>
          <w:sz w:val="24"/>
          <w:szCs w:val="24"/>
          <w:lang w:val="en-US" w:eastAsia="zh-CN" w:bidi="ar-SA"/>
        </w:rPr>
        <w:t>4</w:t>
      </w:r>
      <w:r>
        <w:rPr>
          <w:rFonts w:hint="default" w:ascii="Times New Roman" w:hAnsi="Times New Roman" w:eastAsia="宋体" w:cs="Times New Roman"/>
          <w:b/>
          <w:bCs/>
          <w:color w:val="auto"/>
          <w:kern w:val="28"/>
          <w:sz w:val="24"/>
          <w:szCs w:val="24"/>
          <w:lang w:val="zh-CN" w:eastAsia="zh-CN" w:bidi="ar-SA"/>
        </w:rPr>
        <w:t>.2.13</w:t>
      </w:r>
      <w:r>
        <w:rPr>
          <w:rFonts w:hint="eastAsia" w:cs="Times New Roman"/>
          <w:b/>
          <w:bCs/>
          <w:color w:val="auto"/>
          <w:kern w:val="28"/>
          <w:sz w:val="24"/>
          <w:szCs w:val="24"/>
          <w:lang w:val="en-US" w:eastAsia="zh-CN" w:bidi="ar-SA"/>
        </w:rPr>
        <w:t xml:space="preserve">  </w:t>
      </w:r>
      <w:r>
        <w:rPr>
          <w:rFonts w:hint="eastAsia" w:ascii="宋体" w:hAnsi="宋体" w:eastAsia="宋体" w:cs="宋体"/>
          <w:sz w:val="24"/>
          <w:szCs w:val="24"/>
        </w:rPr>
        <w:t>本条对应GB 50378-2019（2024版）中的4.1.8条，检验安全防护警示和引</w:t>
      </w:r>
    </w:p>
    <w:p>
      <w:pPr>
        <w:widowControl w:val="0"/>
        <w:numPr>
          <w:ilvl w:val="2"/>
          <w:numId w:val="0"/>
        </w:numPr>
        <w:spacing w:before="0" w:after="0" w:line="360" w:lineRule="auto"/>
        <w:ind w:firstLine="480" w:firstLineChars="200"/>
        <w:jc w:val="both"/>
        <w:outlineLvl w:val="9"/>
        <w:rPr>
          <w:rFonts w:hint="eastAsia" w:ascii="宋体" w:hAnsi="宋体" w:eastAsia="宋体" w:cs="宋体"/>
          <w:sz w:val="24"/>
          <w:szCs w:val="24"/>
        </w:rPr>
      </w:pPr>
      <w:r>
        <w:rPr>
          <w:rFonts w:hint="eastAsia" w:ascii="宋体" w:hAnsi="宋体" w:eastAsia="宋体" w:cs="宋体"/>
          <w:sz w:val="24"/>
          <w:szCs w:val="24"/>
        </w:rPr>
        <w:t>导标识系统。</w:t>
      </w:r>
    </w:p>
    <w:p>
      <w:pPr>
        <w:spacing w:line="360" w:lineRule="auto"/>
        <w:ind w:left="478" w:leftChars="228" w:firstLine="0" w:firstLineChars="0"/>
        <w:jc w:val="both"/>
        <w:rPr>
          <w:rFonts w:ascii="Times New Roman" w:hAnsi="Times New Roman" w:cs="Times New Roman"/>
          <w:i/>
          <w:sz w:val="24"/>
          <w:szCs w:val="24"/>
        </w:rPr>
      </w:pPr>
      <w:r>
        <w:rPr>
          <w:rFonts w:hint="eastAsia" w:cs="Times New Roman"/>
          <w:b/>
          <w:bCs/>
          <w:color w:val="auto"/>
          <w:kern w:val="28"/>
          <w:sz w:val="24"/>
          <w:szCs w:val="24"/>
          <w:lang w:val="en-US" w:eastAsia="zh-CN" w:bidi="ar-SA"/>
        </w:rPr>
        <w:t>4</w:t>
      </w:r>
      <w:r>
        <w:rPr>
          <w:rFonts w:hint="default" w:ascii="Times New Roman" w:hAnsi="Times New Roman" w:eastAsia="宋体" w:cs="Times New Roman"/>
          <w:b/>
          <w:bCs/>
          <w:color w:val="auto"/>
          <w:kern w:val="28"/>
          <w:sz w:val="24"/>
          <w:szCs w:val="24"/>
          <w:lang w:val="zh-CN" w:eastAsia="zh-CN" w:bidi="ar-SA"/>
        </w:rPr>
        <w:t>.2.14</w:t>
      </w:r>
      <w:r>
        <w:rPr>
          <w:rFonts w:hint="eastAsia" w:cs="Times New Roman"/>
          <w:b/>
          <w:bCs/>
          <w:color w:val="auto"/>
          <w:kern w:val="28"/>
          <w:sz w:val="24"/>
          <w:szCs w:val="24"/>
          <w:lang w:val="en-US" w:eastAsia="zh-CN" w:bidi="ar-SA"/>
        </w:rPr>
        <w:t xml:space="preserve">  </w:t>
      </w:r>
      <w:r>
        <w:rPr>
          <w:rFonts w:hint="eastAsia" w:ascii="宋体" w:hAnsi="宋体" w:eastAsia="宋体" w:cs="宋体"/>
          <w:sz w:val="24"/>
          <w:szCs w:val="24"/>
        </w:rPr>
        <w:t>本条对应GB 50378-2019（2024版）中的4.1.7条，检验走廊、疏散通道等通行空间的畅通性。</w:t>
      </w:r>
    </w:p>
    <w:p>
      <w:pPr>
        <w:spacing w:line="360" w:lineRule="auto"/>
        <w:ind w:left="478" w:leftChars="228" w:firstLine="0" w:firstLineChars="0"/>
        <w:jc w:val="both"/>
        <w:rPr>
          <w:rFonts w:hint="eastAsia" w:ascii="宋体" w:hAnsi="宋体" w:eastAsia="宋体" w:cs="宋体"/>
          <w:sz w:val="24"/>
          <w:szCs w:val="24"/>
        </w:rPr>
      </w:pPr>
      <w:r>
        <w:rPr>
          <w:rFonts w:hint="eastAsia" w:cs="Times New Roman"/>
          <w:b/>
          <w:bCs/>
          <w:color w:val="auto"/>
          <w:kern w:val="28"/>
          <w:sz w:val="24"/>
          <w:szCs w:val="24"/>
          <w:lang w:val="en-US" w:eastAsia="zh-CN" w:bidi="ar-SA"/>
        </w:rPr>
        <w:t>4</w:t>
      </w:r>
      <w:r>
        <w:rPr>
          <w:rFonts w:hint="default" w:ascii="Times New Roman" w:hAnsi="Times New Roman" w:eastAsia="宋体" w:cs="Times New Roman"/>
          <w:b/>
          <w:bCs/>
          <w:color w:val="auto"/>
          <w:kern w:val="28"/>
          <w:sz w:val="24"/>
          <w:szCs w:val="24"/>
          <w:lang w:val="zh-CN" w:eastAsia="zh-CN" w:bidi="ar-SA"/>
        </w:rPr>
        <w:t>.2.15</w:t>
      </w:r>
      <w:r>
        <w:rPr>
          <w:rFonts w:hint="eastAsia" w:cs="Times New Roman"/>
          <w:b/>
          <w:bCs/>
          <w:color w:val="auto"/>
          <w:kern w:val="28"/>
          <w:sz w:val="24"/>
          <w:szCs w:val="24"/>
          <w:lang w:val="en-US" w:eastAsia="zh-CN" w:bidi="ar-SA"/>
        </w:rPr>
        <w:t xml:space="preserve">  </w:t>
      </w:r>
      <w:r>
        <w:rPr>
          <w:rFonts w:hint="eastAsia" w:ascii="宋体" w:hAnsi="宋体" w:eastAsia="宋体" w:cs="宋体"/>
          <w:sz w:val="24"/>
          <w:szCs w:val="24"/>
        </w:rPr>
        <w:t>本条对应GB 50378-2019（2024版）中的4.2.5条，检验步行和自行车交通系统照明。</w:t>
      </w:r>
    </w:p>
    <w:p>
      <w:pPr>
        <w:spacing w:line="360" w:lineRule="auto"/>
        <w:ind w:left="478" w:leftChars="228" w:firstLine="0" w:firstLineChars="0"/>
        <w:jc w:val="both"/>
        <w:rPr>
          <w:rFonts w:hint="default" w:ascii="宋体" w:hAnsi="宋体" w:eastAsia="宋体" w:cs="宋体"/>
          <w:sz w:val="24"/>
          <w:szCs w:val="24"/>
          <w:lang w:val="en-US"/>
        </w:rPr>
      </w:pPr>
      <w:r>
        <w:rPr>
          <w:rFonts w:hint="eastAsia" w:cs="Times New Roman"/>
          <w:b/>
          <w:bCs/>
          <w:color w:val="auto"/>
          <w:kern w:val="28"/>
          <w:sz w:val="24"/>
          <w:szCs w:val="24"/>
          <w:lang w:val="en-US" w:eastAsia="zh-CN" w:bidi="ar-SA"/>
        </w:rPr>
        <w:t>4</w:t>
      </w:r>
      <w:r>
        <w:rPr>
          <w:rFonts w:hint="default" w:ascii="Times New Roman" w:hAnsi="Times New Roman" w:eastAsia="宋体" w:cs="Times New Roman"/>
          <w:b/>
          <w:bCs/>
          <w:color w:val="auto"/>
          <w:kern w:val="28"/>
          <w:sz w:val="24"/>
          <w:szCs w:val="24"/>
          <w:lang w:val="zh-CN" w:eastAsia="zh-CN" w:bidi="ar-SA"/>
        </w:rPr>
        <w:t>.2.1</w:t>
      </w:r>
      <w:r>
        <w:rPr>
          <w:rFonts w:hint="eastAsia" w:cs="Times New Roman"/>
          <w:b/>
          <w:bCs/>
          <w:color w:val="auto"/>
          <w:kern w:val="28"/>
          <w:sz w:val="24"/>
          <w:szCs w:val="24"/>
          <w:lang w:val="en-US" w:eastAsia="zh-CN" w:bidi="ar-SA"/>
        </w:rPr>
        <w:t xml:space="preserve">6  </w:t>
      </w:r>
      <w:r>
        <w:rPr>
          <w:rFonts w:hint="eastAsia" w:ascii="宋体" w:hAnsi="宋体" w:eastAsia="宋体" w:cs="宋体"/>
          <w:sz w:val="24"/>
          <w:szCs w:val="24"/>
        </w:rPr>
        <w:t>本条对应GB 50378-2019（2024版）中的4.2.5条，检验步行和自行车交通系统照明。</w:t>
      </w:r>
    </w:p>
    <w:p>
      <w:pPr>
        <w:widowControl w:val="0"/>
        <w:numPr>
          <w:ilvl w:val="1"/>
          <w:numId w:val="0"/>
        </w:numPr>
        <w:spacing w:before="312" w:beforeLines="100" w:after="0" w:line="360" w:lineRule="auto"/>
        <w:ind w:left="567" w:leftChars="0" w:hanging="567" w:firstLineChars="0"/>
        <w:jc w:val="center"/>
        <w:outlineLvl w:val="1"/>
        <w:rPr>
          <w:rFonts w:ascii="Times New Roman" w:hAnsi="Times New Roman" w:eastAsia="黑体" w:cs="Times New Roman"/>
          <w:b/>
          <w:bCs/>
          <w:kern w:val="28"/>
          <w:sz w:val="24"/>
          <w:szCs w:val="32"/>
          <w:lang w:val="zh-CN" w:eastAsia="zh-CN" w:bidi="ar-SA"/>
        </w:rPr>
      </w:pPr>
      <w:r>
        <w:rPr>
          <w:rFonts w:hint="eastAsia" w:eastAsia="黑体" w:cs="Times New Roman"/>
          <w:b/>
          <w:bCs/>
          <w:kern w:val="28"/>
          <w:sz w:val="24"/>
          <w:szCs w:val="32"/>
          <w:lang w:val="en-US" w:eastAsia="zh-CN" w:bidi="ar-SA"/>
        </w:rPr>
        <w:t>4</w:t>
      </w:r>
      <w:r>
        <w:rPr>
          <w:rFonts w:hint="default" w:ascii="Times New Roman" w:hAnsi="Times New Roman" w:eastAsia="黑体" w:cs="Times New Roman"/>
          <w:b/>
          <w:bCs/>
          <w:kern w:val="28"/>
          <w:sz w:val="24"/>
          <w:szCs w:val="32"/>
          <w:lang w:val="zh-CN" w:eastAsia="zh-CN" w:bidi="ar-SA"/>
        </w:rPr>
        <w:t>.</w:t>
      </w:r>
      <w:r>
        <w:rPr>
          <w:rFonts w:hint="eastAsia" w:eastAsia="黑体" w:cs="Times New Roman"/>
          <w:b/>
          <w:bCs/>
          <w:kern w:val="28"/>
          <w:sz w:val="24"/>
          <w:szCs w:val="32"/>
          <w:lang w:val="en-US" w:eastAsia="zh-CN" w:bidi="ar-SA"/>
        </w:rPr>
        <w:t xml:space="preserve">3 </w:t>
      </w:r>
      <w:r>
        <w:rPr>
          <w:rFonts w:ascii="Times New Roman" w:hAnsi="Times New Roman" w:eastAsia="黑体" w:cs="Times New Roman"/>
          <w:b/>
          <w:bCs/>
          <w:kern w:val="28"/>
          <w:sz w:val="24"/>
          <w:szCs w:val="32"/>
          <w:lang w:val="zh-CN" w:eastAsia="zh-CN" w:bidi="ar-SA"/>
        </w:rPr>
        <w:t>耐久</w:t>
      </w:r>
    </w:p>
    <w:p>
      <w:pPr>
        <w:spacing w:line="360" w:lineRule="auto"/>
        <w:ind w:firstLine="480" w:firstLineChars="200"/>
        <w:jc w:val="both"/>
        <w:rPr>
          <w:rFonts w:hint="eastAsia" w:ascii="宋体" w:hAnsi="宋体" w:eastAsia="宋体" w:cs="宋体"/>
          <w:sz w:val="24"/>
          <w:szCs w:val="24"/>
        </w:rPr>
      </w:pPr>
      <w:r>
        <w:rPr>
          <w:rFonts w:hint="eastAsia" w:cs="Times New Roman"/>
          <w:b/>
          <w:bCs w:val="0"/>
          <w:color w:val="auto"/>
          <w:kern w:val="28"/>
          <w:sz w:val="24"/>
          <w:szCs w:val="24"/>
          <w:lang w:val="en-US" w:eastAsia="zh-CN" w:bidi="ar-SA"/>
        </w:rPr>
        <w:t>4</w:t>
      </w:r>
      <w:r>
        <w:rPr>
          <w:rFonts w:hint="default" w:ascii="Times New Roman" w:hAnsi="Times New Roman" w:eastAsia="宋体" w:cs="Times New Roman"/>
          <w:b/>
          <w:bCs w:val="0"/>
          <w:color w:val="auto"/>
          <w:kern w:val="28"/>
          <w:sz w:val="24"/>
          <w:szCs w:val="24"/>
          <w:lang w:val="zh-CN" w:eastAsia="zh-CN" w:bidi="ar-SA"/>
        </w:rPr>
        <w:t>.3.1</w:t>
      </w:r>
      <w:r>
        <w:rPr>
          <w:rFonts w:hint="eastAsia" w:cs="Times New Roman"/>
          <w:b/>
          <w:bCs w:val="0"/>
          <w:color w:val="auto"/>
          <w:kern w:val="28"/>
          <w:sz w:val="24"/>
          <w:szCs w:val="24"/>
          <w:lang w:val="en-US" w:eastAsia="zh-CN" w:bidi="ar-SA"/>
        </w:rPr>
        <w:t xml:space="preserve">  </w:t>
      </w:r>
      <w:r>
        <w:rPr>
          <w:rFonts w:hint="eastAsia" w:ascii="宋体" w:hAnsi="宋体" w:eastAsia="宋体" w:cs="宋体"/>
          <w:sz w:val="24"/>
          <w:szCs w:val="24"/>
        </w:rPr>
        <w:t>本条对应GB 50378-2019（2024版）中的4.2.6条，检验建筑适变性。</w:t>
      </w:r>
    </w:p>
    <w:p>
      <w:pPr>
        <w:spacing w:line="360" w:lineRule="auto"/>
        <w:ind w:firstLine="480" w:firstLineChars="200"/>
        <w:jc w:val="both"/>
        <w:rPr>
          <w:rFonts w:hint="eastAsia" w:ascii="宋体" w:hAnsi="宋体" w:eastAsia="宋体" w:cs="宋体"/>
          <w:sz w:val="24"/>
          <w:szCs w:val="24"/>
        </w:rPr>
      </w:pPr>
      <w:r>
        <w:rPr>
          <w:rFonts w:hint="eastAsia" w:cs="Times New Roman"/>
          <w:b/>
          <w:bCs/>
          <w:color w:val="auto"/>
          <w:kern w:val="28"/>
          <w:sz w:val="24"/>
          <w:szCs w:val="24"/>
          <w:lang w:val="en-US" w:eastAsia="zh-CN" w:bidi="ar-SA"/>
        </w:rPr>
        <w:t>4</w:t>
      </w:r>
      <w:r>
        <w:rPr>
          <w:rFonts w:hint="default" w:ascii="Times New Roman" w:hAnsi="Times New Roman" w:eastAsia="宋体" w:cs="Times New Roman"/>
          <w:b/>
          <w:bCs/>
          <w:color w:val="auto"/>
          <w:kern w:val="28"/>
          <w:sz w:val="24"/>
          <w:szCs w:val="24"/>
          <w:lang w:val="zh-CN" w:eastAsia="zh-CN" w:bidi="ar-SA"/>
        </w:rPr>
        <w:t>.3.2</w:t>
      </w:r>
      <w:r>
        <w:rPr>
          <w:rFonts w:hint="eastAsia" w:cs="Times New Roman"/>
          <w:b/>
          <w:bCs/>
          <w:color w:val="auto"/>
          <w:kern w:val="28"/>
          <w:sz w:val="24"/>
          <w:szCs w:val="24"/>
          <w:lang w:val="en-US" w:eastAsia="zh-CN" w:bidi="ar-SA"/>
        </w:rPr>
        <w:t xml:space="preserve">  </w:t>
      </w:r>
      <w:r>
        <w:rPr>
          <w:rFonts w:hint="eastAsia" w:ascii="宋体" w:hAnsi="宋体" w:eastAsia="宋体" w:cs="宋体"/>
          <w:sz w:val="24"/>
          <w:szCs w:val="24"/>
        </w:rPr>
        <w:t>本条对应GB 50378-2019（2024版）中的4.2.7条，检验建筑部品部件耐久性。</w:t>
      </w:r>
    </w:p>
    <w:p>
      <w:pPr>
        <w:spacing w:line="360" w:lineRule="auto"/>
        <w:ind w:left="478" w:leftChars="228" w:firstLine="0" w:firstLineChars="0"/>
        <w:jc w:val="both"/>
        <w:rPr>
          <w:rFonts w:ascii="Times New Roman" w:hAnsi="Times New Roman" w:cs="Times New Roman"/>
          <w:i/>
          <w:sz w:val="24"/>
          <w:szCs w:val="24"/>
        </w:rPr>
      </w:pPr>
      <w:r>
        <w:rPr>
          <w:rFonts w:hint="eastAsia" w:cs="Times New Roman"/>
          <w:b/>
          <w:bCs/>
          <w:color w:val="auto"/>
          <w:kern w:val="28"/>
          <w:sz w:val="24"/>
          <w:szCs w:val="24"/>
          <w:lang w:val="en-US" w:eastAsia="zh-CN" w:bidi="ar-SA"/>
        </w:rPr>
        <w:t>4</w:t>
      </w:r>
      <w:r>
        <w:rPr>
          <w:rFonts w:hint="default" w:ascii="Times New Roman" w:hAnsi="Times New Roman" w:eastAsia="宋体" w:cs="Times New Roman"/>
          <w:b/>
          <w:bCs/>
          <w:color w:val="auto"/>
          <w:kern w:val="28"/>
          <w:sz w:val="24"/>
          <w:szCs w:val="24"/>
          <w:lang w:val="zh-CN" w:eastAsia="zh-CN" w:bidi="ar-SA"/>
        </w:rPr>
        <w:t>.3.3</w:t>
      </w:r>
      <w:r>
        <w:rPr>
          <w:rFonts w:hint="eastAsia" w:cs="Times New Roman"/>
          <w:b/>
          <w:bCs/>
          <w:color w:val="auto"/>
          <w:kern w:val="28"/>
          <w:sz w:val="24"/>
          <w:szCs w:val="24"/>
          <w:lang w:val="en-US" w:eastAsia="zh-CN" w:bidi="ar-SA"/>
        </w:rPr>
        <w:t xml:space="preserve">  </w:t>
      </w:r>
      <w:r>
        <w:rPr>
          <w:rFonts w:hint="eastAsia" w:ascii="宋体" w:hAnsi="宋体" w:eastAsia="宋体" w:cs="宋体"/>
          <w:sz w:val="24"/>
          <w:szCs w:val="24"/>
        </w:rPr>
        <w:t>本条对应GB 50378-2019（2024版）中的4.2.8条，检验混凝土结构构件的耐久性。</w:t>
      </w:r>
    </w:p>
    <w:p>
      <w:pPr>
        <w:spacing w:line="360" w:lineRule="auto"/>
        <w:ind w:firstLine="480" w:firstLineChars="200"/>
        <w:jc w:val="both"/>
        <w:rPr>
          <w:rFonts w:ascii="Times New Roman" w:hAnsi="Times New Roman" w:cs="Times New Roman"/>
          <w:i/>
          <w:sz w:val="24"/>
          <w:szCs w:val="24"/>
        </w:rPr>
      </w:pPr>
      <w:r>
        <w:rPr>
          <w:rFonts w:hint="eastAsia" w:cs="Times New Roman"/>
          <w:b/>
          <w:bCs/>
          <w:color w:val="auto"/>
          <w:kern w:val="28"/>
          <w:sz w:val="24"/>
          <w:szCs w:val="24"/>
          <w:lang w:val="en-US" w:eastAsia="zh-CN" w:bidi="ar-SA"/>
        </w:rPr>
        <w:t>4</w:t>
      </w:r>
      <w:r>
        <w:rPr>
          <w:rFonts w:hint="default" w:ascii="Times New Roman" w:hAnsi="Times New Roman" w:eastAsia="宋体" w:cs="Times New Roman"/>
          <w:b/>
          <w:bCs/>
          <w:color w:val="auto"/>
          <w:kern w:val="28"/>
          <w:sz w:val="24"/>
          <w:szCs w:val="24"/>
          <w:lang w:val="zh-CN" w:eastAsia="zh-CN" w:bidi="ar-SA"/>
        </w:rPr>
        <w:t>.3.4</w:t>
      </w:r>
      <w:r>
        <w:rPr>
          <w:rFonts w:hint="eastAsia" w:cs="Times New Roman"/>
          <w:b/>
          <w:bCs/>
          <w:color w:val="auto"/>
          <w:kern w:val="28"/>
          <w:sz w:val="24"/>
          <w:szCs w:val="24"/>
          <w:lang w:val="en-US" w:eastAsia="zh-CN" w:bidi="ar-SA"/>
        </w:rPr>
        <w:t xml:space="preserve">  </w:t>
      </w:r>
      <w:r>
        <w:rPr>
          <w:rFonts w:hint="eastAsia" w:ascii="宋体" w:hAnsi="宋体" w:eastAsia="宋体" w:cs="宋体"/>
          <w:sz w:val="24"/>
          <w:szCs w:val="24"/>
        </w:rPr>
        <w:t>本条对应GB 50378-2019（2024版）中的4.2.8条，检验钢结构构件的耐久性。</w:t>
      </w:r>
    </w:p>
    <w:p>
      <w:pPr>
        <w:spacing w:line="360" w:lineRule="auto"/>
        <w:ind w:firstLine="480" w:firstLineChars="200"/>
        <w:jc w:val="both"/>
        <w:rPr>
          <w:rFonts w:hint="eastAsia" w:ascii="宋体" w:hAnsi="宋体" w:eastAsia="宋体" w:cs="宋体"/>
          <w:sz w:val="24"/>
          <w:szCs w:val="24"/>
        </w:rPr>
      </w:pPr>
      <w:r>
        <w:rPr>
          <w:rFonts w:hint="eastAsia" w:cs="Times New Roman"/>
          <w:b/>
          <w:bCs/>
          <w:color w:val="auto"/>
          <w:kern w:val="28"/>
          <w:sz w:val="24"/>
          <w:szCs w:val="24"/>
          <w:lang w:val="en-US" w:eastAsia="zh-CN" w:bidi="ar-SA"/>
        </w:rPr>
        <w:t>4</w:t>
      </w:r>
      <w:r>
        <w:rPr>
          <w:rFonts w:hint="default" w:ascii="Times New Roman" w:hAnsi="Times New Roman" w:eastAsia="宋体" w:cs="Times New Roman"/>
          <w:b/>
          <w:bCs/>
          <w:color w:val="auto"/>
          <w:kern w:val="28"/>
          <w:sz w:val="24"/>
          <w:szCs w:val="24"/>
          <w:lang w:val="zh-CN" w:eastAsia="zh-CN" w:bidi="ar-SA"/>
        </w:rPr>
        <w:t>.3.5</w:t>
      </w:r>
      <w:r>
        <w:rPr>
          <w:rFonts w:hint="eastAsia" w:cs="Times New Roman"/>
          <w:b/>
          <w:bCs/>
          <w:color w:val="auto"/>
          <w:kern w:val="28"/>
          <w:sz w:val="24"/>
          <w:szCs w:val="24"/>
          <w:lang w:val="en-US" w:eastAsia="zh-CN" w:bidi="ar-SA"/>
        </w:rPr>
        <w:t xml:space="preserve">  </w:t>
      </w:r>
      <w:r>
        <w:rPr>
          <w:rFonts w:hint="eastAsia" w:ascii="宋体" w:hAnsi="宋体" w:eastAsia="宋体" w:cs="宋体"/>
          <w:sz w:val="24"/>
          <w:szCs w:val="24"/>
        </w:rPr>
        <w:t>本条对应GB 50378-2019（2024版）中的4.2.8条，检验木结构构件的耐久性。</w:t>
      </w:r>
    </w:p>
    <w:p>
      <w:pPr>
        <w:spacing w:line="360" w:lineRule="auto"/>
        <w:ind w:left="478" w:leftChars="228" w:firstLine="0" w:firstLineChars="0"/>
        <w:jc w:val="both"/>
        <w:rPr>
          <w:rFonts w:ascii="Times New Roman" w:hAnsi="Times New Roman" w:cs="Times New Roman"/>
          <w:i/>
          <w:sz w:val="24"/>
          <w:szCs w:val="24"/>
        </w:rPr>
      </w:pPr>
      <w:r>
        <w:rPr>
          <w:rFonts w:hint="eastAsia" w:cs="Times New Roman"/>
          <w:b/>
          <w:bCs/>
          <w:color w:val="auto"/>
          <w:kern w:val="28"/>
          <w:sz w:val="24"/>
          <w:szCs w:val="24"/>
          <w:lang w:val="en-US" w:eastAsia="zh-CN" w:bidi="ar-SA"/>
        </w:rPr>
        <w:t>4</w:t>
      </w:r>
      <w:r>
        <w:rPr>
          <w:rFonts w:hint="default" w:ascii="Times New Roman" w:hAnsi="Times New Roman" w:eastAsia="宋体" w:cs="Times New Roman"/>
          <w:b/>
          <w:bCs/>
          <w:color w:val="auto"/>
          <w:kern w:val="28"/>
          <w:sz w:val="24"/>
          <w:szCs w:val="24"/>
          <w:lang w:val="zh-CN" w:eastAsia="zh-CN" w:bidi="ar-SA"/>
        </w:rPr>
        <w:t>.3.6</w:t>
      </w:r>
      <w:r>
        <w:rPr>
          <w:rFonts w:hint="eastAsia" w:cs="Times New Roman"/>
          <w:b/>
          <w:bCs/>
          <w:color w:val="auto"/>
          <w:kern w:val="28"/>
          <w:sz w:val="24"/>
          <w:szCs w:val="24"/>
          <w:lang w:val="en-US" w:eastAsia="zh-CN" w:bidi="ar-SA"/>
        </w:rPr>
        <w:t xml:space="preserve">  </w:t>
      </w:r>
      <w:r>
        <w:rPr>
          <w:rFonts w:hint="eastAsia" w:ascii="宋体" w:hAnsi="宋体" w:eastAsia="宋体" w:cs="宋体"/>
          <w:sz w:val="24"/>
          <w:szCs w:val="24"/>
        </w:rPr>
        <w:t>本条对应GB 50378-2019（2024版）中的4.2.9条，检验装饰装修材料耐久性、易维护性。</w:t>
      </w:r>
    </w:p>
    <w:p>
      <w:pPr>
        <w:spacing w:line="360" w:lineRule="auto"/>
        <w:ind w:left="478" w:leftChars="228" w:firstLine="0" w:firstLineChars="0"/>
        <w:jc w:val="both"/>
        <w:rPr>
          <w:rFonts w:hint="eastAsia" w:ascii="宋体" w:hAnsi="宋体" w:eastAsia="宋体" w:cs="宋体"/>
          <w:sz w:val="24"/>
          <w:szCs w:val="24"/>
        </w:rPr>
        <w:sectPr>
          <w:pgSz w:w="11906" w:h="16838"/>
          <w:pgMar w:top="1610" w:right="1349" w:bottom="1213" w:left="1293" w:header="851" w:footer="992" w:gutter="0"/>
          <w:pgBorders>
            <w:top w:val="none" w:sz="0" w:space="0"/>
            <w:left w:val="none" w:sz="0" w:space="0"/>
            <w:bottom w:val="none" w:sz="0" w:space="0"/>
            <w:right w:val="none" w:sz="0" w:space="0"/>
          </w:pgBorders>
          <w:pgNumType w:fmt="decimal"/>
          <w:cols w:space="0" w:num="1"/>
          <w:rtlGutter w:val="0"/>
          <w:docGrid w:type="linesAndChars" w:linePitch="312" w:charSpace="0"/>
        </w:sectPr>
      </w:pPr>
    </w:p>
    <w:p>
      <w:pPr>
        <w:keepNext/>
        <w:keepLines/>
        <w:widowControl w:val="0"/>
        <w:numPr>
          <w:ilvl w:val="0"/>
          <w:numId w:val="0"/>
        </w:numPr>
        <w:spacing w:before="340" w:after="330" w:line="578" w:lineRule="auto"/>
        <w:ind w:left="425" w:leftChars="0" w:hanging="425" w:firstLineChars="0"/>
        <w:jc w:val="center"/>
        <w:outlineLvl w:val="0"/>
        <w:rPr>
          <w:rFonts w:ascii="Times New Roman" w:hAnsi="Times New Roman" w:eastAsia="宋体" w:cs="Times New Roman"/>
          <w:b/>
          <w:bCs/>
          <w:kern w:val="44"/>
          <w:sz w:val="28"/>
          <w:szCs w:val="28"/>
          <w:lang w:val="en-US" w:eastAsia="zh-CN" w:bidi="ar-SA"/>
        </w:rPr>
      </w:pPr>
      <w:r>
        <w:rPr>
          <w:rFonts w:hint="eastAsia" w:cs="Times New Roman"/>
          <w:b/>
          <w:bCs/>
          <w:kern w:val="44"/>
          <w:sz w:val="28"/>
          <w:szCs w:val="28"/>
          <w:lang w:val="en-US" w:eastAsia="zh-CN" w:bidi="ar-SA"/>
        </w:rPr>
        <w:t xml:space="preserve">5  </w:t>
      </w:r>
      <w:r>
        <w:rPr>
          <w:rFonts w:ascii="Times New Roman" w:hAnsi="Times New Roman" w:eastAsia="宋体" w:cs="Times New Roman"/>
          <w:b/>
          <w:bCs/>
          <w:kern w:val="44"/>
          <w:sz w:val="28"/>
          <w:szCs w:val="28"/>
          <w:lang w:val="en-US" w:eastAsia="zh-CN" w:bidi="ar-SA"/>
        </w:rPr>
        <w:t>健康舒适</w:t>
      </w:r>
    </w:p>
    <w:p>
      <w:pPr>
        <w:widowControl w:val="0"/>
        <w:spacing w:before="312" w:beforeLines="100" w:after="0" w:line="360" w:lineRule="auto"/>
        <w:jc w:val="center"/>
        <w:outlineLvl w:val="1"/>
        <w:rPr>
          <w:rFonts w:ascii="Times New Roman" w:hAnsi="Times New Roman" w:eastAsia="黑体" w:cs="Times New Roman"/>
          <w:b/>
          <w:bCs/>
          <w:kern w:val="28"/>
          <w:sz w:val="24"/>
          <w:szCs w:val="32"/>
          <w:lang w:val="zh-CN" w:eastAsia="zh-CN" w:bidi="ar-SA"/>
        </w:rPr>
      </w:pPr>
      <w:r>
        <w:rPr>
          <w:rFonts w:ascii="Times New Roman" w:hAnsi="Times New Roman" w:eastAsia="黑体" w:cs="Times New Roman"/>
          <w:b/>
          <w:bCs/>
          <w:kern w:val="28"/>
          <w:sz w:val="24"/>
          <w:szCs w:val="32"/>
          <w:lang w:val="zh-CN" w:eastAsia="zh" w:bidi="ar-SA"/>
        </w:rPr>
        <w:t>5.1</w:t>
      </w:r>
      <w:r>
        <w:rPr>
          <w:rFonts w:hint="eastAsia" w:eastAsia="黑体" w:cs="Times New Roman"/>
          <w:b/>
          <w:bCs/>
          <w:kern w:val="28"/>
          <w:sz w:val="24"/>
          <w:szCs w:val="32"/>
          <w:lang w:val="en-US" w:eastAsia="zh-CN" w:bidi="ar-SA"/>
        </w:rPr>
        <w:t xml:space="preserve"> </w:t>
      </w:r>
      <w:r>
        <w:rPr>
          <w:rFonts w:ascii="Times New Roman" w:hAnsi="Times New Roman" w:eastAsia="黑体" w:cs="Times New Roman"/>
          <w:b/>
          <w:bCs/>
          <w:kern w:val="28"/>
          <w:sz w:val="24"/>
          <w:szCs w:val="32"/>
          <w:lang w:val="zh-CN" w:eastAsia="zh-CN" w:bidi="ar-SA"/>
        </w:rPr>
        <w:t>室内声环境</w:t>
      </w:r>
    </w:p>
    <w:p>
      <w:pPr>
        <w:spacing w:line="360" w:lineRule="auto"/>
        <w:jc w:val="both"/>
        <w:rPr>
          <w:rFonts w:hint="eastAsia" w:ascii="宋体" w:hAnsi="宋体" w:eastAsia="宋体" w:cs="宋体"/>
          <w:sz w:val="24"/>
          <w:szCs w:val="24"/>
        </w:rPr>
      </w:pPr>
      <w:r>
        <w:rPr>
          <w:rFonts w:hint="default" w:ascii="Times New Roman" w:hAnsi="Times New Roman" w:eastAsia="宋体" w:cs="Times New Roman"/>
          <w:b/>
          <w:bCs/>
          <w:color w:val="auto"/>
          <w:kern w:val="28"/>
          <w:sz w:val="24"/>
          <w:szCs w:val="24"/>
          <w:lang w:val="zh-CN" w:eastAsia="zh-CN" w:bidi="ar-SA"/>
        </w:rPr>
        <w:t>5.1.1</w:t>
      </w:r>
      <w:r>
        <w:rPr>
          <w:rFonts w:hint="eastAsia" w:cs="Times New Roman"/>
          <w:b/>
          <w:bCs/>
          <w:color w:val="auto"/>
          <w:kern w:val="28"/>
          <w:sz w:val="24"/>
          <w:szCs w:val="24"/>
          <w:lang w:val="en-US" w:eastAsia="zh-CN" w:bidi="ar-SA"/>
        </w:rPr>
        <w:t xml:space="preserve">  </w:t>
      </w:r>
      <w:r>
        <w:rPr>
          <w:rFonts w:hint="eastAsia" w:ascii="宋体" w:hAnsi="宋体" w:eastAsia="宋体" w:cs="宋体"/>
          <w:sz w:val="24"/>
          <w:szCs w:val="24"/>
        </w:rPr>
        <w:t>本条对应GB 50378-2019（2024版）中的5.2.6条第一款，被测噪声为室外交通噪声、工业噪声等环境噪声源影响下的室内噪声。</w:t>
      </w:r>
    </w:p>
    <w:p>
      <w:pPr>
        <w:spacing w:line="360" w:lineRule="auto"/>
        <w:jc w:val="both"/>
        <w:rPr>
          <w:rFonts w:hint="eastAsia" w:ascii="宋体" w:hAnsi="宋体" w:eastAsia="宋体" w:cs="宋体"/>
          <w:sz w:val="24"/>
          <w:szCs w:val="24"/>
        </w:rPr>
      </w:pPr>
      <w:r>
        <w:rPr>
          <w:rFonts w:hint="default" w:ascii="Times New Roman" w:hAnsi="Times New Roman" w:eastAsia="宋体" w:cs="Times New Roman"/>
          <w:b/>
          <w:bCs/>
          <w:color w:val="auto"/>
          <w:kern w:val="28"/>
          <w:sz w:val="24"/>
          <w:szCs w:val="24"/>
          <w:lang w:val="zh-CN" w:eastAsia="zh-CN" w:bidi="ar-SA"/>
        </w:rPr>
        <w:t>5.1.</w:t>
      </w:r>
      <w:r>
        <w:rPr>
          <w:rFonts w:hint="eastAsia" w:cs="Times New Roman"/>
          <w:b/>
          <w:bCs/>
          <w:color w:val="auto"/>
          <w:kern w:val="28"/>
          <w:sz w:val="24"/>
          <w:szCs w:val="24"/>
          <w:lang w:val="en-US" w:eastAsia="zh-CN" w:bidi="ar-SA"/>
        </w:rPr>
        <w:t xml:space="preserve">2  </w:t>
      </w:r>
      <w:r>
        <w:rPr>
          <w:rFonts w:hint="eastAsia" w:ascii="宋体" w:hAnsi="宋体" w:eastAsia="宋体" w:cs="宋体"/>
          <w:sz w:val="24"/>
          <w:szCs w:val="24"/>
        </w:rPr>
        <w:t>本条对应GB 50378-2019（2024版）中的5.2.6条第二款，被测噪声为建筑设备作为噪声源传播至主要功能房间室内的噪声，是建筑设备通过各种传声途径（含空气声传播、撞击声传播、结构声传播）传播至主要功能房间室内的噪声总和。因此，测量时所有影响设备应处于运行状态，并应排除建筑物外部噪声的干扰，可以通过改变测量时段，关闭其他声源，提高外围护结构隔声能力等来降低其他噪声的干扰，保证室外噪声源传播至室内的噪声比内部设备噪声源噪声低3dB以上。</w:t>
      </w:r>
    </w:p>
    <w:p>
      <w:pPr>
        <w:spacing w:line="360" w:lineRule="auto"/>
        <w:jc w:val="both"/>
        <w:rPr>
          <w:rFonts w:ascii="Times New Roman" w:hAnsi="Times New Roman" w:cs="Times New Roman"/>
          <w:i/>
          <w:sz w:val="24"/>
          <w:szCs w:val="24"/>
        </w:rPr>
      </w:pPr>
      <w:r>
        <w:rPr>
          <w:rFonts w:hint="default" w:ascii="Times New Roman" w:hAnsi="Times New Roman" w:eastAsia="宋体" w:cs="Times New Roman"/>
          <w:b/>
          <w:bCs/>
          <w:color w:val="auto"/>
          <w:kern w:val="28"/>
          <w:sz w:val="24"/>
          <w:szCs w:val="24"/>
          <w:lang w:val="zh-CN" w:eastAsia="zh-CN" w:bidi="ar-SA"/>
        </w:rPr>
        <w:t>5.1.3</w:t>
      </w:r>
      <w:r>
        <w:rPr>
          <w:rFonts w:hint="eastAsia" w:cs="Times New Roman"/>
          <w:b/>
          <w:bCs/>
          <w:color w:val="auto"/>
          <w:kern w:val="28"/>
          <w:sz w:val="24"/>
          <w:szCs w:val="24"/>
          <w:lang w:val="en-US" w:eastAsia="zh-CN" w:bidi="ar-SA"/>
        </w:rPr>
        <w:t xml:space="preserve">  </w:t>
      </w:r>
      <w:r>
        <w:rPr>
          <w:rFonts w:hint="eastAsia" w:ascii="宋体" w:hAnsi="宋体" w:eastAsia="宋体" w:cs="宋体"/>
          <w:sz w:val="24"/>
          <w:szCs w:val="24"/>
        </w:rPr>
        <w:t>本条对应GB 50378-2019（2024版）中的5.1.4条、5.2.7条，检验楼板的撞击声隔声性能。</w:t>
      </w:r>
    </w:p>
    <w:p>
      <w:pPr>
        <w:spacing w:line="360" w:lineRule="auto"/>
        <w:jc w:val="both"/>
        <w:rPr>
          <w:rFonts w:hint="eastAsia" w:ascii="宋体" w:hAnsi="宋体" w:eastAsia="宋体" w:cs="宋体"/>
          <w:sz w:val="24"/>
          <w:szCs w:val="24"/>
        </w:rPr>
      </w:pPr>
      <w:r>
        <w:rPr>
          <w:rFonts w:hint="default" w:ascii="Times New Roman" w:hAnsi="Times New Roman" w:eastAsia="宋体" w:cs="Times New Roman"/>
          <w:b/>
          <w:bCs/>
          <w:color w:val="auto"/>
          <w:kern w:val="28"/>
          <w:sz w:val="24"/>
          <w:szCs w:val="24"/>
          <w:lang w:val="zh-CN" w:eastAsia="zh-CN" w:bidi="ar-SA"/>
        </w:rPr>
        <w:t>5.1.4</w:t>
      </w:r>
      <w:r>
        <w:rPr>
          <w:rFonts w:hint="eastAsia" w:cs="Times New Roman"/>
          <w:b/>
          <w:bCs/>
          <w:color w:val="auto"/>
          <w:kern w:val="28"/>
          <w:sz w:val="24"/>
          <w:szCs w:val="24"/>
          <w:lang w:val="en-US" w:eastAsia="zh-CN" w:bidi="ar-SA"/>
        </w:rPr>
        <w:t xml:space="preserve">  </w:t>
      </w:r>
      <w:r>
        <w:rPr>
          <w:rFonts w:hint="eastAsia" w:ascii="宋体" w:hAnsi="宋体" w:eastAsia="宋体" w:cs="宋体"/>
          <w:sz w:val="24"/>
          <w:szCs w:val="24"/>
        </w:rPr>
        <w:t>本条对应GB 50378-2019（2024版）中的5.1.4条、5.2.7条，检验建筑构件的空气声隔声性能。</w:t>
      </w:r>
    </w:p>
    <w:p>
      <w:pPr>
        <w:spacing w:line="240" w:lineRule="auto"/>
        <w:jc w:val="both"/>
        <w:rPr>
          <w:rFonts w:ascii="Times New Roman" w:hAnsi="Times New Roman" w:cs="Times New Roman"/>
          <w:szCs w:val="24"/>
        </w:rPr>
      </w:pPr>
    </w:p>
    <w:p>
      <w:pPr>
        <w:widowControl w:val="0"/>
        <w:numPr>
          <w:ilvl w:val="1"/>
          <w:numId w:val="0"/>
        </w:numPr>
        <w:spacing w:before="312" w:beforeLines="100" w:after="0" w:line="360" w:lineRule="auto"/>
        <w:ind w:left="567" w:leftChars="0" w:hanging="567" w:firstLineChars="0"/>
        <w:jc w:val="center"/>
        <w:outlineLvl w:val="1"/>
        <w:rPr>
          <w:rFonts w:ascii="Times New Roman" w:hAnsi="Times New Roman" w:eastAsia="黑体" w:cs="Times New Roman"/>
          <w:b/>
          <w:bCs/>
          <w:kern w:val="28"/>
          <w:sz w:val="24"/>
          <w:szCs w:val="32"/>
          <w:lang w:val="zh-CN" w:eastAsia="zh-CN" w:bidi="ar-SA"/>
        </w:rPr>
      </w:pPr>
      <w:r>
        <w:rPr>
          <w:rFonts w:hint="default" w:ascii="Times New Roman" w:hAnsi="Times New Roman" w:eastAsia="黑体" w:cs="Times New Roman"/>
          <w:b/>
          <w:bCs/>
          <w:kern w:val="28"/>
          <w:sz w:val="24"/>
          <w:szCs w:val="32"/>
          <w:lang w:val="zh-CN" w:eastAsia="zh-CN" w:bidi="ar-SA"/>
        </w:rPr>
        <w:t>5.2</w:t>
      </w:r>
      <w:r>
        <w:rPr>
          <w:rFonts w:hint="eastAsia" w:eastAsia="黑体" w:cs="Times New Roman"/>
          <w:b/>
          <w:bCs/>
          <w:kern w:val="28"/>
          <w:sz w:val="24"/>
          <w:szCs w:val="32"/>
          <w:lang w:val="en-US" w:eastAsia="zh-CN" w:bidi="ar-SA"/>
        </w:rPr>
        <w:t xml:space="preserve"> </w:t>
      </w:r>
      <w:r>
        <w:rPr>
          <w:rFonts w:ascii="Times New Roman" w:hAnsi="Times New Roman" w:eastAsia="黑体" w:cs="Times New Roman"/>
          <w:b/>
          <w:bCs/>
          <w:kern w:val="28"/>
          <w:sz w:val="24"/>
          <w:szCs w:val="32"/>
          <w:lang w:val="zh-CN" w:eastAsia="zh-CN" w:bidi="ar-SA"/>
        </w:rPr>
        <w:t>室内光环境</w:t>
      </w:r>
    </w:p>
    <w:p>
      <w:pPr>
        <w:spacing w:line="360" w:lineRule="auto"/>
        <w:jc w:val="both"/>
        <w:rPr>
          <w:rFonts w:hint="eastAsia" w:ascii="宋体" w:hAnsi="宋体" w:eastAsia="宋体" w:cs="宋体"/>
          <w:sz w:val="24"/>
          <w:szCs w:val="24"/>
        </w:rPr>
      </w:pPr>
      <w:r>
        <w:rPr>
          <w:rFonts w:hint="default" w:ascii="Times New Roman" w:hAnsi="Times New Roman" w:eastAsia="宋体" w:cs="Times New Roman"/>
          <w:b/>
          <w:bCs/>
          <w:color w:val="auto"/>
          <w:kern w:val="28"/>
          <w:sz w:val="24"/>
          <w:szCs w:val="24"/>
          <w:lang w:val="zh-CN" w:eastAsia="zh-CN" w:bidi="ar-SA"/>
        </w:rPr>
        <w:t>5.2.1</w:t>
      </w:r>
      <w:r>
        <w:rPr>
          <w:rFonts w:hint="eastAsia" w:cs="Times New Roman"/>
          <w:b/>
          <w:bCs/>
          <w:color w:val="auto"/>
          <w:kern w:val="28"/>
          <w:sz w:val="24"/>
          <w:szCs w:val="24"/>
          <w:lang w:val="en-US" w:eastAsia="zh-CN" w:bidi="ar-SA"/>
        </w:rPr>
        <w:t xml:space="preserve">  </w:t>
      </w:r>
      <w:r>
        <w:rPr>
          <w:rFonts w:hint="eastAsia" w:ascii="宋体" w:hAnsi="宋体" w:eastAsia="宋体" w:cs="宋体"/>
          <w:sz w:val="24"/>
          <w:szCs w:val="24"/>
        </w:rPr>
        <w:t>本条对应GB 50378-2019（2024版）中的5.2.8条，适用于静态采光系数的检验。动态采光评价可结合室内采光模拟分析报告设置的边界条件，与现场实际材料参数进行比对，满足模拟设置的参数要求，即可采信模拟分析报告结论。</w:t>
      </w:r>
    </w:p>
    <w:p>
      <w:pPr>
        <w:spacing w:line="360" w:lineRule="auto"/>
        <w:jc w:val="both"/>
        <w:rPr>
          <w:rFonts w:ascii="Times New Roman" w:hAnsi="Times New Roman" w:cs="Times New Roman"/>
          <w:i/>
          <w:sz w:val="24"/>
          <w:szCs w:val="24"/>
        </w:rPr>
      </w:pPr>
      <w:r>
        <w:rPr>
          <w:rFonts w:hint="default" w:ascii="Times New Roman" w:hAnsi="Times New Roman" w:eastAsia="宋体" w:cs="Times New Roman"/>
          <w:b/>
          <w:bCs/>
          <w:color w:val="auto"/>
          <w:kern w:val="28"/>
          <w:sz w:val="24"/>
          <w:szCs w:val="24"/>
          <w:lang w:val="zh-CN" w:eastAsia="zh-CN" w:bidi="ar-SA"/>
        </w:rPr>
        <w:t>5.2.2</w:t>
      </w:r>
      <w:r>
        <w:rPr>
          <w:rFonts w:hint="eastAsia" w:cs="Times New Roman"/>
          <w:b/>
          <w:bCs/>
          <w:color w:val="auto"/>
          <w:kern w:val="28"/>
          <w:sz w:val="24"/>
          <w:szCs w:val="24"/>
          <w:lang w:val="en-US" w:eastAsia="zh-CN" w:bidi="ar-SA"/>
        </w:rPr>
        <w:t xml:space="preserve">  </w:t>
      </w:r>
      <w:r>
        <w:rPr>
          <w:rFonts w:hint="eastAsia" w:ascii="宋体" w:hAnsi="宋体" w:eastAsia="宋体" w:cs="宋体"/>
          <w:sz w:val="24"/>
          <w:szCs w:val="24"/>
        </w:rPr>
        <w:t>本条对应GB 50378-2019（2024版）中的5.1.5条。</w:t>
      </w:r>
    </w:p>
    <w:p>
      <w:pPr>
        <w:spacing w:line="360" w:lineRule="auto"/>
        <w:jc w:val="both"/>
        <w:rPr>
          <w:rFonts w:hint="eastAsia" w:ascii="Times New Roman" w:hAnsi="Times New Roman" w:cs="Times New Roman"/>
          <w:i/>
          <w:sz w:val="24"/>
          <w:szCs w:val="24"/>
        </w:rPr>
      </w:pPr>
      <w:r>
        <w:rPr>
          <w:rFonts w:hint="default" w:ascii="Times New Roman" w:hAnsi="Times New Roman" w:eastAsia="宋体" w:cs="Times New Roman"/>
          <w:b/>
          <w:bCs/>
          <w:color w:val="auto"/>
          <w:kern w:val="28"/>
          <w:sz w:val="24"/>
          <w:szCs w:val="24"/>
          <w:lang w:val="zh-CN" w:eastAsia="zh-CN" w:bidi="ar-SA"/>
        </w:rPr>
        <w:t>5.2.3</w:t>
      </w:r>
      <w:r>
        <w:rPr>
          <w:rFonts w:hint="eastAsia" w:cs="Times New Roman"/>
          <w:b/>
          <w:bCs/>
          <w:color w:val="auto"/>
          <w:kern w:val="28"/>
          <w:sz w:val="24"/>
          <w:szCs w:val="24"/>
          <w:lang w:val="en-US" w:eastAsia="zh-CN" w:bidi="ar-SA"/>
        </w:rPr>
        <w:t xml:space="preserve">  </w:t>
      </w:r>
      <w:r>
        <w:rPr>
          <w:rFonts w:hint="eastAsia" w:ascii="宋体" w:hAnsi="宋体" w:eastAsia="宋体" w:cs="宋体"/>
          <w:sz w:val="24"/>
          <w:szCs w:val="24"/>
        </w:rPr>
        <w:t>本条对应GB 50378-2019（2024版）中的5.1.5条。</w:t>
      </w:r>
    </w:p>
    <w:p>
      <w:pPr>
        <w:spacing w:line="360" w:lineRule="auto"/>
        <w:jc w:val="both"/>
        <w:rPr>
          <w:rFonts w:hint="eastAsia" w:ascii="宋体" w:hAnsi="宋体" w:eastAsia="宋体" w:cs="宋体"/>
          <w:sz w:val="24"/>
          <w:szCs w:val="24"/>
        </w:rPr>
      </w:pPr>
      <w:r>
        <w:rPr>
          <w:rFonts w:hint="default" w:ascii="Times New Roman" w:hAnsi="Times New Roman" w:eastAsia="宋体" w:cs="Times New Roman"/>
          <w:b/>
          <w:bCs/>
          <w:color w:val="auto"/>
          <w:kern w:val="28"/>
          <w:sz w:val="24"/>
          <w:szCs w:val="24"/>
          <w:lang w:val="zh-CN" w:eastAsia="zh-CN" w:bidi="ar-SA"/>
        </w:rPr>
        <w:t>5.2.4</w:t>
      </w:r>
      <w:r>
        <w:rPr>
          <w:rFonts w:hint="eastAsia" w:cs="Times New Roman"/>
          <w:b/>
          <w:bCs/>
          <w:color w:val="auto"/>
          <w:kern w:val="28"/>
          <w:sz w:val="24"/>
          <w:szCs w:val="24"/>
          <w:lang w:val="en-US" w:eastAsia="zh-CN" w:bidi="ar-SA"/>
        </w:rPr>
        <w:t xml:space="preserve">  </w:t>
      </w:r>
      <w:r>
        <w:rPr>
          <w:rFonts w:hint="eastAsia" w:ascii="宋体" w:hAnsi="宋体" w:eastAsia="宋体" w:cs="宋体"/>
          <w:sz w:val="24"/>
          <w:szCs w:val="24"/>
        </w:rPr>
        <w:t>本条对应GB 50378-2019（2024版）中的5.1.5条。</w:t>
      </w:r>
    </w:p>
    <w:p>
      <w:pPr>
        <w:spacing w:line="360" w:lineRule="auto"/>
        <w:jc w:val="both"/>
        <w:rPr>
          <w:rFonts w:hint="eastAsia" w:ascii="宋体" w:hAnsi="宋体" w:eastAsia="宋体" w:cs="宋体"/>
          <w:sz w:val="24"/>
          <w:szCs w:val="24"/>
        </w:rPr>
      </w:pPr>
      <w:r>
        <w:rPr>
          <w:rFonts w:hint="default" w:ascii="Times New Roman" w:hAnsi="Times New Roman" w:eastAsia="宋体" w:cs="Times New Roman"/>
          <w:b/>
          <w:bCs/>
          <w:color w:val="auto"/>
          <w:kern w:val="28"/>
          <w:sz w:val="24"/>
          <w:szCs w:val="24"/>
          <w:lang w:val="zh-CN" w:eastAsia="zh-CN" w:bidi="ar-SA"/>
        </w:rPr>
        <w:t>5.2.5</w:t>
      </w:r>
      <w:r>
        <w:rPr>
          <w:rFonts w:hint="eastAsia" w:cs="Times New Roman"/>
          <w:b/>
          <w:bCs/>
          <w:color w:val="auto"/>
          <w:kern w:val="28"/>
          <w:sz w:val="24"/>
          <w:szCs w:val="24"/>
          <w:lang w:val="en-US" w:eastAsia="zh-CN" w:bidi="ar-SA"/>
        </w:rPr>
        <w:t xml:space="preserve">  </w:t>
      </w:r>
      <w:r>
        <w:rPr>
          <w:rFonts w:hint="eastAsia" w:ascii="宋体" w:hAnsi="宋体" w:eastAsia="宋体" w:cs="宋体"/>
          <w:sz w:val="24"/>
          <w:szCs w:val="24"/>
        </w:rPr>
        <w:t>本条对应GB 50378-2019（2024版）中的5.1.5条。</w:t>
      </w:r>
    </w:p>
    <w:p>
      <w:pPr>
        <w:widowControl w:val="0"/>
        <w:numPr>
          <w:ilvl w:val="1"/>
          <w:numId w:val="0"/>
        </w:numPr>
        <w:spacing w:before="312" w:beforeLines="100" w:after="0" w:line="360" w:lineRule="auto"/>
        <w:ind w:left="567" w:leftChars="0" w:hanging="567" w:firstLineChars="0"/>
        <w:jc w:val="center"/>
        <w:outlineLvl w:val="1"/>
        <w:rPr>
          <w:rFonts w:ascii="Times New Roman" w:hAnsi="Times New Roman" w:eastAsia="黑体" w:cs="Times New Roman"/>
          <w:b/>
          <w:bCs/>
          <w:kern w:val="28"/>
          <w:sz w:val="24"/>
          <w:szCs w:val="32"/>
          <w:lang w:val="zh-CN" w:eastAsia="zh-CN" w:bidi="ar-SA"/>
        </w:rPr>
      </w:pPr>
      <w:r>
        <w:rPr>
          <w:rFonts w:hint="default" w:ascii="Times New Roman" w:hAnsi="Times New Roman" w:eastAsia="黑体" w:cs="Times New Roman"/>
          <w:b/>
          <w:bCs/>
          <w:kern w:val="28"/>
          <w:sz w:val="24"/>
          <w:szCs w:val="32"/>
          <w:lang w:val="zh-CN" w:eastAsia="zh-CN" w:bidi="ar-SA"/>
        </w:rPr>
        <w:t>5.3</w:t>
      </w:r>
      <w:r>
        <w:rPr>
          <w:rFonts w:hint="eastAsia" w:eastAsia="黑体" w:cs="Times New Roman"/>
          <w:b/>
          <w:bCs/>
          <w:kern w:val="28"/>
          <w:sz w:val="24"/>
          <w:szCs w:val="32"/>
          <w:lang w:val="en-US" w:eastAsia="zh-CN" w:bidi="ar-SA"/>
        </w:rPr>
        <w:t xml:space="preserve"> </w:t>
      </w:r>
      <w:r>
        <w:rPr>
          <w:rFonts w:ascii="Times New Roman" w:hAnsi="Times New Roman" w:eastAsia="黑体" w:cs="Times New Roman"/>
          <w:b/>
          <w:bCs/>
          <w:kern w:val="28"/>
          <w:sz w:val="24"/>
          <w:szCs w:val="32"/>
          <w:lang w:val="zh-CN" w:eastAsia="zh-CN" w:bidi="ar-SA"/>
        </w:rPr>
        <w:t>室内热湿环境</w:t>
      </w:r>
    </w:p>
    <w:p>
      <w:pPr>
        <w:spacing w:line="360" w:lineRule="auto"/>
        <w:jc w:val="both"/>
        <w:rPr>
          <w:rFonts w:hint="eastAsia" w:ascii="宋体" w:hAnsi="宋体" w:eastAsia="宋体" w:cs="宋体"/>
          <w:sz w:val="24"/>
          <w:szCs w:val="24"/>
        </w:rPr>
      </w:pPr>
      <w:r>
        <w:rPr>
          <w:rFonts w:hint="default" w:ascii="Times New Roman" w:hAnsi="Times New Roman" w:eastAsia="宋体" w:cs="Times New Roman"/>
          <w:b/>
          <w:bCs/>
          <w:color w:val="auto"/>
          <w:kern w:val="28"/>
          <w:sz w:val="24"/>
          <w:szCs w:val="24"/>
          <w:lang w:val="zh-CN" w:eastAsia="zh-CN" w:bidi="ar-SA"/>
        </w:rPr>
        <w:t>5.3.1</w:t>
      </w:r>
      <w:r>
        <w:rPr>
          <w:rFonts w:hint="eastAsia" w:cs="Times New Roman"/>
          <w:b/>
          <w:bCs/>
          <w:color w:val="auto"/>
          <w:kern w:val="28"/>
          <w:sz w:val="24"/>
          <w:szCs w:val="24"/>
          <w:lang w:val="en-US" w:eastAsia="zh-CN" w:bidi="ar-SA"/>
        </w:rPr>
        <w:t xml:space="preserve">  </w:t>
      </w:r>
      <w:r>
        <w:rPr>
          <w:rFonts w:hint="eastAsia" w:ascii="宋体" w:hAnsi="宋体" w:eastAsia="宋体" w:cs="宋体"/>
          <w:sz w:val="24"/>
          <w:szCs w:val="24"/>
        </w:rPr>
        <w:t>本条对应GB 50378-2019（2024版）中的5.1.6、5.2.9条。</w:t>
      </w:r>
    </w:p>
    <w:p>
      <w:pPr>
        <w:spacing w:line="240" w:lineRule="auto"/>
        <w:jc w:val="both"/>
        <w:rPr>
          <w:rFonts w:ascii="Times New Roman" w:hAnsi="Times New Roman" w:cs="Times New Roman"/>
          <w:szCs w:val="24"/>
        </w:rPr>
      </w:pPr>
    </w:p>
    <w:p>
      <w:pPr>
        <w:widowControl w:val="0"/>
        <w:numPr>
          <w:ilvl w:val="1"/>
          <w:numId w:val="0"/>
        </w:numPr>
        <w:spacing w:before="312" w:beforeLines="100" w:after="0" w:line="360" w:lineRule="auto"/>
        <w:ind w:left="567" w:leftChars="0" w:hanging="567" w:firstLineChars="0"/>
        <w:jc w:val="center"/>
        <w:outlineLvl w:val="1"/>
        <w:rPr>
          <w:rFonts w:ascii="Times New Roman" w:hAnsi="Times New Roman" w:eastAsia="黑体" w:cs="Times New Roman"/>
          <w:b/>
          <w:bCs/>
          <w:kern w:val="28"/>
          <w:sz w:val="24"/>
          <w:szCs w:val="32"/>
          <w:lang w:val="zh-CN" w:eastAsia="zh-CN" w:bidi="ar-SA"/>
        </w:rPr>
      </w:pPr>
      <w:r>
        <w:rPr>
          <w:rFonts w:hint="default" w:ascii="Times New Roman" w:hAnsi="Times New Roman" w:eastAsia="黑体" w:cs="Times New Roman"/>
          <w:b/>
          <w:bCs/>
          <w:kern w:val="28"/>
          <w:sz w:val="24"/>
          <w:szCs w:val="32"/>
          <w:lang w:val="zh-CN" w:eastAsia="zh-CN" w:bidi="ar-SA"/>
        </w:rPr>
        <w:t>5.4</w:t>
      </w:r>
      <w:r>
        <w:rPr>
          <w:rFonts w:hint="eastAsia" w:eastAsia="黑体" w:cs="Times New Roman"/>
          <w:b/>
          <w:bCs/>
          <w:kern w:val="28"/>
          <w:sz w:val="24"/>
          <w:szCs w:val="32"/>
          <w:lang w:val="en-US" w:eastAsia="zh-CN" w:bidi="ar-SA"/>
        </w:rPr>
        <w:t xml:space="preserve"> </w:t>
      </w:r>
      <w:r>
        <w:rPr>
          <w:rFonts w:ascii="Times New Roman" w:hAnsi="Times New Roman" w:eastAsia="黑体" w:cs="Times New Roman"/>
          <w:b/>
          <w:bCs/>
          <w:kern w:val="28"/>
          <w:sz w:val="24"/>
          <w:szCs w:val="32"/>
          <w:lang w:val="zh-CN" w:eastAsia="zh-CN" w:bidi="ar-SA"/>
        </w:rPr>
        <w:t>室内空气质量</w:t>
      </w:r>
    </w:p>
    <w:p>
      <w:pPr>
        <w:spacing w:line="360" w:lineRule="auto"/>
        <w:jc w:val="both"/>
        <w:rPr>
          <w:rFonts w:hint="eastAsia" w:ascii="宋体" w:hAnsi="宋体" w:eastAsia="宋体" w:cs="宋体"/>
          <w:sz w:val="24"/>
          <w:szCs w:val="24"/>
        </w:rPr>
      </w:pPr>
      <w:r>
        <w:rPr>
          <w:rFonts w:hint="default" w:ascii="Times New Roman" w:hAnsi="Times New Roman" w:eastAsia="宋体" w:cs="Times New Roman"/>
          <w:b/>
          <w:bCs/>
          <w:color w:val="auto"/>
          <w:kern w:val="28"/>
          <w:sz w:val="24"/>
          <w:szCs w:val="24"/>
          <w:lang w:val="zh-CN" w:eastAsia="zh-CN" w:bidi="ar-SA"/>
        </w:rPr>
        <w:t>5.4.1</w:t>
      </w:r>
      <w:r>
        <w:rPr>
          <w:rFonts w:hint="eastAsia" w:cs="Times New Roman"/>
          <w:b/>
          <w:bCs/>
          <w:color w:val="auto"/>
          <w:kern w:val="28"/>
          <w:sz w:val="24"/>
          <w:szCs w:val="24"/>
          <w:lang w:val="en-US" w:eastAsia="zh-CN" w:bidi="ar-SA"/>
        </w:rPr>
        <w:t xml:space="preserve">  </w:t>
      </w:r>
      <w:r>
        <w:rPr>
          <w:rFonts w:hint="eastAsia" w:ascii="宋体" w:hAnsi="宋体" w:eastAsia="宋体" w:cs="宋体"/>
          <w:sz w:val="24"/>
          <w:szCs w:val="24"/>
        </w:rPr>
        <w:t>本条对应GB 50378-2019（2024版）中的5.1.6条。</w:t>
      </w:r>
    </w:p>
    <w:p>
      <w:pPr>
        <w:spacing w:line="360" w:lineRule="auto"/>
        <w:jc w:val="both"/>
        <w:rPr>
          <w:rFonts w:hint="eastAsia" w:ascii="宋体" w:hAnsi="宋体" w:eastAsia="宋体" w:cs="宋体"/>
          <w:sz w:val="24"/>
          <w:szCs w:val="24"/>
        </w:rPr>
      </w:pPr>
      <w:r>
        <w:rPr>
          <w:rFonts w:hint="default" w:ascii="Times New Roman" w:hAnsi="Times New Roman" w:eastAsia="宋体" w:cs="Times New Roman"/>
          <w:b/>
          <w:bCs/>
          <w:color w:val="auto"/>
          <w:kern w:val="28"/>
          <w:sz w:val="24"/>
          <w:szCs w:val="24"/>
          <w:lang w:val="zh-CN" w:eastAsia="zh-CN" w:bidi="ar-SA"/>
        </w:rPr>
        <w:t>5.4.2</w:t>
      </w:r>
      <w:r>
        <w:rPr>
          <w:rFonts w:hint="eastAsia" w:cs="Times New Roman"/>
          <w:b/>
          <w:bCs/>
          <w:color w:val="auto"/>
          <w:kern w:val="28"/>
          <w:sz w:val="24"/>
          <w:szCs w:val="24"/>
          <w:lang w:val="en-US" w:eastAsia="zh-CN" w:bidi="ar-SA"/>
        </w:rPr>
        <w:t xml:space="preserve">  </w:t>
      </w:r>
      <w:r>
        <w:rPr>
          <w:rFonts w:hint="eastAsia" w:ascii="宋体" w:hAnsi="宋体" w:eastAsia="宋体" w:cs="宋体"/>
          <w:sz w:val="24"/>
          <w:szCs w:val="24"/>
        </w:rPr>
        <w:t>本条对应GB 50378-2019（2024版）中的5.1.1、5.2.1条。</w:t>
      </w:r>
    </w:p>
    <w:p>
      <w:pPr>
        <w:spacing w:line="360" w:lineRule="auto"/>
        <w:jc w:val="both"/>
        <w:rPr>
          <w:rFonts w:hint="eastAsia" w:ascii="宋体" w:hAnsi="宋体" w:eastAsia="宋体" w:cs="宋体"/>
          <w:sz w:val="24"/>
          <w:szCs w:val="24"/>
        </w:rPr>
      </w:pPr>
      <w:r>
        <w:rPr>
          <w:rFonts w:hint="default" w:ascii="Times New Roman" w:hAnsi="Times New Roman" w:eastAsia="宋体" w:cs="Times New Roman"/>
          <w:b/>
          <w:bCs/>
          <w:color w:val="auto"/>
          <w:kern w:val="28"/>
          <w:sz w:val="24"/>
          <w:szCs w:val="24"/>
          <w:lang w:val="zh-CN" w:eastAsia="zh-CN" w:bidi="ar-SA"/>
        </w:rPr>
        <w:t>5.4.3</w:t>
      </w:r>
      <w:r>
        <w:rPr>
          <w:rFonts w:hint="eastAsia" w:cs="Times New Roman"/>
          <w:b/>
          <w:bCs/>
          <w:color w:val="auto"/>
          <w:kern w:val="28"/>
          <w:sz w:val="24"/>
          <w:szCs w:val="24"/>
          <w:lang w:val="en-US" w:eastAsia="zh-CN" w:bidi="ar-SA"/>
        </w:rPr>
        <w:t xml:space="preserve">  </w:t>
      </w:r>
      <w:r>
        <w:rPr>
          <w:rFonts w:hint="eastAsia" w:ascii="宋体" w:hAnsi="宋体" w:eastAsia="宋体" w:cs="宋体"/>
          <w:sz w:val="24"/>
          <w:szCs w:val="24"/>
        </w:rPr>
        <w:t>本条对应GB 50378-2019（2024版）中的5.1.2条。</w:t>
      </w:r>
    </w:p>
    <w:p>
      <w:pPr>
        <w:spacing w:line="360" w:lineRule="auto"/>
        <w:jc w:val="both"/>
        <w:rPr>
          <w:rFonts w:hint="eastAsia" w:ascii="宋体" w:hAnsi="宋体" w:eastAsia="宋体" w:cs="宋体"/>
          <w:sz w:val="24"/>
          <w:szCs w:val="24"/>
        </w:rPr>
      </w:pPr>
      <w:r>
        <w:rPr>
          <w:rFonts w:hint="default" w:ascii="Times New Roman" w:hAnsi="Times New Roman" w:eastAsia="宋体" w:cs="Times New Roman"/>
          <w:b/>
          <w:bCs/>
          <w:color w:val="auto"/>
          <w:kern w:val="28"/>
          <w:sz w:val="24"/>
          <w:szCs w:val="24"/>
          <w:lang w:val="zh-CN" w:eastAsia="zh-CN" w:bidi="ar-SA"/>
        </w:rPr>
        <w:t>5.4.4</w:t>
      </w:r>
      <w:r>
        <w:rPr>
          <w:rFonts w:hint="eastAsia" w:cs="Times New Roman"/>
          <w:b/>
          <w:bCs/>
          <w:color w:val="auto"/>
          <w:kern w:val="28"/>
          <w:sz w:val="24"/>
          <w:szCs w:val="24"/>
          <w:lang w:val="en-US" w:eastAsia="zh-CN" w:bidi="ar-SA"/>
        </w:rPr>
        <w:t xml:space="preserve">  </w:t>
      </w:r>
      <w:r>
        <w:rPr>
          <w:rFonts w:hint="eastAsia" w:ascii="宋体" w:hAnsi="宋体" w:eastAsia="宋体" w:cs="宋体"/>
          <w:sz w:val="24"/>
          <w:szCs w:val="24"/>
        </w:rPr>
        <w:t>本条对应GB 50378-2019（2024版）中的5.2.1条。</w:t>
      </w:r>
    </w:p>
    <w:p>
      <w:pPr>
        <w:spacing w:line="360" w:lineRule="auto"/>
        <w:jc w:val="both"/>
        <w:rPr>
          <w:rFonts w:hint="eastAsia" w:ascii="宋体" w:hAnsi="宋体" w:eastAsia="宋体" w:cs="宋体"/>
          <w:sz w:val="24"/>
          <w:szCs w:val="24"/>
        </w:rPr>
      </w:pPr>
      <w:r>
        <w:rPr>
          <w:rFonts w:hint="default" w:ascii="Times New Roman" w:hAnsi="Times New Roman" w:eastAsia="宋体" w:cs="Times New Roman"/>
          <w:b/>
          <w:bCs/>
          <w:color w:val="auto"/>
          <w:kern w:val="28"/>
          <w:sz w:val="24"/>
          <w:szCs w:val="24"/>
          <w:lang w:val="zh-CN" w:eastAsia="zh-CN" w:bidi="ar-SA"/>
        </w:rPr>
        <w:t>5.4.5</w:t>
      </w:r>
      <w:r>
        <w:rPr>
          <w:rFonts w:hint="eastAsia" w:cs="Times New Roman"/>
          <w:b/>
          <w:bCs/>
          <w:color w:val="auto"/>
          <w:kern w:val="28"/>
          <w:sz w:val="24"/>
          <w:szCs w:val="24"/>
          <w:lang w:val="en-US" w:eastAsia="zh-CN" w:bidi="ar-SA"/>
        </w:rPr>
        <w:t xml:space="preserve">  </w:t>
      </w:r>
      <w:r>
        <w:rPr>
          <w:rFonts w:hint="eastAsia" w:ascii="宋体" w:hAnsi="宋体" w:eastAsia="宋体" w:cs="宋体"/>
          <w:sz w:val="24"/>
          <w:szCs w:val="24"/>
        </w:rPr>
        <w:t>本条对应GB 50378-2019（2024版）中的5.1.9条。</w:t>
      </w:r>
    </w:p>
    <w:p>
      <w:pPr>
        <w:widowControl w:val="0"/>
        <w:numPr>
          <w:ilvl w:val="1"/>
          <w:numId w:val="0"/>
        </w:numPr>
        <w:spacing w:before="312" w:beforeLines="100" w:after="0" w:line="360" w:lineRule="auto"/>
        <w:ind w:left="567" w:leftChars="0" w:hanging="567" w:firstLineChars="0"/>
        <w:jc w:val="center"/>
        <w:outlineLvl w:val="1"/>
        <w:rPr>
          <w:rFonts w:ascii="Times New Roman" w:hAnsi="Times New Roman" w:eastAsia="黑体" w:cs="Times New Roman"/>
          <w:b/>
          <w:bCs/>
          <w:kern w:val="28"/>
          <w:sz w:val="24"/>
          <w:szCs w:val="32"/>
          <w:lang w:val="zh-CN" w:eastAsia="zh-CN" w:bidi="ar-SA"/>
        </w:rPr>
      </w:pPr>
      <w:r>
        <w:rPr>
          <w:rFonts w:hint="default" w:ascii="Times New Roman" w:hAnsi="Times New Roman" w:eastAsia="黑体" w:cs="Times New Roman"/>
          <w:b/>
          <w:bCs/>
          <w:kern w:val="28"/>
          <w:sz w:val="24"/>
          <w:szCs w:val="32"/>
          <w:lang w:val="zh-CN" w:eastAsia="zh-CN" w:bidi="ar-SA"/>
        </w:rPr>
        <w:t>5.5</w:t>
      </w:r>
      <w:r>
        <w:rPr>
          <w:rFonts w:hint="eastAsia" w:eastAsia="黑体" w:cs="Times New Roman"/>
          <w:b/>
          <w:bCs/>
          <w:kern w:val="28"/>
          <w:sz w:val="24"/>
          <w:szCs w:val="32"/>
          <w:lang w:val="en-US" w:eastAsia="zh-CN" w:bidi="ar-SA"/>
        </w:rPr>
        <w:t xml:space="preserve"> </w:t>
      </w:r>
      <w:r>
        <w:rPr>
          <w:rFonts w:ascii="Times New Roman" w:hAnsi="Times New Roman" w:eastAsia="黑体" w:cs="Times New Roman"/>
          <w:b/>
          <w:bCs/>
          <w:kern w:val="28"/>
          <w:sz w:val="24"/>
          <w:szCs w:val="32"/>
          <w:lang w:val="zh-CN" w:eastAsia="zh-CN" w:bidi="ar-SA"/>
        </w:rPr>
        <w:t>水质</w:t>
      </w:r>
    </w:p>
    <w:p>
      <w:pPr>
        <w:spacing w:line="360" w:lineRule="auto"/>
        <w:jc w:val="both"/>
        <w:rPr>
          <w:rFonts w:ascii="Times New Roman" w:hAnsi="Times New Roman" w:cs="Times New Roman"/>
          <w:i/>
          <w:sz w:val="24"/>
          <w:szCs w:val="24"/>
        </w:rPr>
      </w:pPr>
      <w:r>
        <w:rPr>
          <w:rFonts w:hint="default" w:ascii="Times New Roman" w:hAnsi="Times New Roman" w:eastAsia="宋体" w:cs="Times New Roman"/>
          <w:b/>
          <w:bCs/>
          <w:color w:val="auto"/>
          <w:kern w:val="28"/>
          <w:sz w:val="24"/>
          <w:szCs w:val="24"/>
          <w:lang w:val="zh-CN" w:eastAsia="zh-CN" w:bidi="ar-SA"/>
        </w:rPr>
        <w:t>5.5.6</w:t>
      </w:r>
      <w:r>
        <w:rPr>
          <w:rFonts w:hint="eastAsia" w:cs="Times New Roman"/>
          <w:b/>
          <w:bCs/>
          <w:color w:val="auto"/>
          <w:kern w:val="28"/>
          <w:sz w:val="24"/>
          <w:szCs w:val="24"/>
          <w:lang w:val="en-US" w:eastAsia="zh-CN" w:bidi="ar-SA"/>
        </w:rPr>
        <w:t xml:space="preserve">  </w:t>
      </w:r>
      <w:r>
        <w:rPr>
          <w:rFonts w:hint="eastAsia" w:ascii="宋体" w:hAnsi="宋体" w:eastAsia="宋体" w:cs="宋体"/>
          <w:sz w:val="24"/>
          <w:szCs w:val="24"/>
        </w:rPr>
        <w:t>本条对应GB 50378-2019（2024版）中的5.2.3条，查验建筑各类用水使用状态下的水质。</w:t>
      </w:r>
    </w:p>
    <w:p>
      <w:pPr>
        <w:spacing w:line="360" w:lineRule="auto"/>
        <w:outlineLvl w:val="9"/>
        <w:rPr>
          <w:bCs/>
        </w:rPr>
        <w:sectPr>
          <w:pgSz w:w="11906" w:h="16838"/>
          <w:pgMar w:top="1440" w:right="1800" w:bottom="1440" w:left="1800" w:header="851" w:footer="992" w:gutter="0"/>
          <w:pgNumType w:fmt="decimal"/>
          <w:cols w:space="720" w:num="1"/>
          <w:docGrid w:type="lines" w:linePitch="312" w:charSpace="0"/>
        </w:sectPr>
      </w:pPr>
    </w:p>
    <w:p>
      <w:pPr>
        <w:keepNext/>
        <w:keepLines/>
        <w:widowControl w:val="0"/>
        <w:numPr>
          <w:ilvl w:val="0"/>
          <w:numId w:val="0"/>
        </w:numPr>
        <w:spacing w:before="340" w:after="330" w:line="578" w:lineRule="auto"/>
        <w:ind w:left="425" w:leftChars="0" w:hanging="425" w:firstLineChars="0"/>
        <w:jc w:val="center"/>
        <w:outlineLvl w:val="0"/>
        <w:rPr>
          <w:rFonts w:ascii="Times New Roman" w:hAnsi="Times New Roman" w:eastAsia="宋体" w:cs="Times New Roman"/>
          <w:b/>
          <w:bCs/>
          <w:kern w:val="44"/>
          <w:sz w:val="28"/>
          <w:szCs w:val="28"/>
          <w:lang w:val="en-US" w:eastAsia="zh-CN" w:bidi="ar-SA"/>
        </w:rPr>
      </w:pPr>
      <w:r>
        <w:rPr>
          <w:rFonts w:hint="eastAsia" w:ascii="Times New Roman" w:hAnsi="Times New Roman" w:eastAsia="宋体" w:cs="Times New Roman"/>
          <w:b/>
          <w:bCs/>
          <w:kern w:val="44"/>
          <w:sz w:val="28"/>
          <w:szCs w:val="28"/>
          <w:lang w:val="en-US" w:eastAsia="zh-CN" w:bidi="ar-SA"/>
        </w:rPr>
        <w:t>6</w:t>
      </w:r>
      <w:r>
        <w:rPr>
          <w:rFonts w:hint="eastAsia" w:cs="Times New Roman"/>
          <w:b/>
          <w:bCs/>
          <w:kern w:val="44"/>
          <w:sz w:val="28"/>
          <w:szCs w:val="28"/>
          <w:lang w:val="en-US" w:eastAsia="zh-CN" w:bidi="ar-SA"/>
        </w:rPr>
        <w:t xml:space="preserve">  </w:t>
      </w:r>
      <w:r>
        <w:rPr>
          <w:rFonts w:ascii="Times New Roman" w:hAnsi="Times New Roman" w:eastAsia="宋体" w:cs="Times New Roman"/>
          <w:b/>
          <w:bCs/>
          <w:kern w:val="44"/>
          <w:sz w:val="28"/>
          <w:szCs w:val="28"/>
          <w:lang w:val="en-US" w:eastAsia="zh-CN" w:bidi="ar-SA"/>
        </w:rPr>
        <w:t>生活便利</w:t>
      </w:r>
    </w:p>
    <w:p>
      <w:pPr>
        <w:widowControl w:val="0"/>
        <w:numPr>
          <w:ilvl w:val="1"/>
          <w:numId w:val="0"/>
        </w:numPr>
        <w:spacing w:before="312" w:beforeLines="100" w:after="0" w:line="360" w:lineRule="auto"/>
        <w:ind w:left="567" w:leftChars="0" w:hanging="567" w:firstLineChars="0"/>
        <w:jc w:val="center"/>
        <w:outlineLvl w:val="1"/>
        <w:rPr>
          <w:rFonts w:ascii="Times New Roman" w:hAnsi="Times New Roman" w:eastAsia="黑体" w:cs="Times New Roman"/>
          <w:b/>
          <w:bCs/>
          <w:kern w:val="28"/>
          <w:sz w:val="24"/>
          <w:szCs w:val="32"/>
          <w:lang w:val="zh-CN" w:eastAsia="zh-CN" w:bidi="ar-SA"/>
        </w:rPr>
      </w:pPr>
      <w:r>
        <w:rPr>
          <w:rFonts w:hint="default" w:ascii="Times New Roman" w:hAnsi="Times New Roman" w:eastAsia="黑体" w:cs="Times New Roman"/>
          <w:b/>
          <w:bCs/>
          <w:kern w:val="28"/>
          <w:sz w:val="24"/>
          <w:szCs w:val="32"/>
          <w:lang w:val="zh-CN" w:eastAsia="zh-CN" w:bidi="ar-SA"/>
        </w:rPr>
        <w:t>6.1</w:t>
      </w:r>
      <w:r>
        <w:rPr>
          <w:rFonts w:hint="eastAsia" w:eastAsia="黑体" w:cs="Times New Roman"/>
          <w:b/>
          <w:bCs/>
          <w:kern w:val="28"/>
          <w:sz w:val="24"/>
          <w:szCs w:val="32"/>
          <w:lang w:val="en-US" w:eastAsia="zh-CN" w:bidi="ar-SA"/>
        </w:rPr>
        <w:t xml:space="preserve"> </w:t>
      </w:r>
      <w:r>
        <w:rPr>
          <w:rFonts w:ascii="Times New Roman" w:hAnsi="Times New Roman" w:eastAsia="黑体" w:cs="Times New Roman"/>
          <w:b/>
          <w:bCs/>
          <w:kern w:val="28"/>
          <w:sz w:val="24"/>
          <w:szCs w:val="32"/>
          <w:lang w:val="zh-CN" w:eastAsia="zh-CN" w:bidi="ar-SA"/>
        </w:rPr>
        <w:t>出行与无障碍</w:t>
      </w:r>
    </w:p>
    <w:p>
      <w:pPr>
        <w:spacing w:line="360" w:lineRule="auto"/>
        <w:ind w:left="478" w:leftChars="228" w:firstLine="0" w:firstLineChars="0"/>
        <w:jc w:val="both"/>
        <w:rPr>
          <w:rFonts w:hint="eastAsia" w:ascii="宋体" w:hAnsi="宋体" w:eastAsia="宋体" w:cs="宋体"/>
          <w:sz w:val="24"/>
          <w:szCs w:val="24"/>
        </w:rPr>
      </w:pPr>
      <w:r>
        <w:rPr>
          <w:rFonts w:hint="default" w:ascii="Times New Roman" w:hAnsi="Times New Roman" w:eastAsia="宋体" w:cs="Times New Roman"/>
          <w:b/>
          <w:bCs/>
          <w:color w:val="auto"/>
          <w:kern w:val="28"/>
          <w:sz w:val="24"/>
          <w:szCs w:val="24"/>
          <w:lang w:val="zh-CN" w:eastAsia="zh-CN" w:bidi="ar-SA"/>
        </w:rPr>
        <w:t>6.1.1</w:t>
      </w:r>
      <w:r>
        <w:rPr>
          <w:rFonts w:hint="eastAsia" w:cs="Times New Roman"/>
          <w:b/>
          <w:bCs/>
          <w:color w:val="auto"/>
          <w:kern w:val="28"/>
          <w:sz w:val="24"/>
          <w:szCs w:val="24"/>
          <w:lang w:val="en-US" w:eastAsia="zh-CN" w:bidi="ar-SA"/>
        </w:rPr>
        <w:t xml:space="preserve">  </w:t>
      </w:r>
      <w:r>
        <w:rPr>
          <w:rFonts w:hint="eastAsia" w:ascii="宋体" w:hAnsi="宋体" w:eastAsia="宋体" w:cs="宋体"/>
          <w:sz w:val="24"/>
          <w:szCs w:val="24"/>
        </w:rPr>
        <w:t>本条对应GB 50378中的6.1.2条、6.2.1条，适用于各类民用建筑的运行检验评价。</w:t>
      </w:r>
    </w:p>
    <w:p>
      <w:pPr>
        <w:spacing w:line="360" w:lineRule="auto"/>
        <w:ind w:firstLine="480" w:firstLineChars="200"/>
        <w:jc w:val="both"/>
        <w:rPr>
          <w:rFonts w:hint="eastAsia" w:ascii="宋体" w:hAnsi="宋体" w:eastAsia="宋体" w:cs="宋体"/>
          <w:sz w:val="24"/>
          <w:szCs w:val="24"/>
        </w:rPr>
      </w:pPr>
      <w:r>
        <w:rPr>
          <w:rFonts w:hint="eastAsia" w:ascii="宋体" w:hAnsi="宋体" w:eastAsia="宋体" w:cs="宋体"/>
          <w:sz w:val="24"/>
          <w:szCs w:val="24"/>
        </w:rPr>
        <w:t>本条重点查验场地与周边各类公共交通站点的距离。</w:t>
      </w:r>
    </w:p>
    <w:p>
      <w:pPr>
        <w:spacing w:line="360" w:lineRule="auto"/>
        <w:ind w:left="478" w:leftChars="228" w:firstLine="0" w:firstLineChars="0"/>
        <w:jc w:val="both"/>
        <w:rPr>
          <w:rFonts w:hint="eastAsia" w:ascii="宋体" w:hAnsi="宋体" w:eastAsia="宋体" w:cs="宋体"/>
          <w:sz w:val="24"/>
          <w:szCs w:val="24"/>
        </w:rPr>
      </w:pPr>
      <w:r>
        <w:rPr>
          <w:rFonts w:hint="default" w:ascii="Times New Roman" w:hAnsi="Times New Roman" w:eastAsia="宋体" w:cs="Times New Roman"/>
          <w:b/>
          <w:bCs/>
          <w:color w:val="auto"/>
          <w:kern w:val="28"/>
          <w:sz w:val="24"/>
          <w:szCs w:val="24"/>
          <w:lang w:val="zh-CN" w:eastAsia="zh-CN" w:bidi="ar-SA"/>
        </w:rPr>
        <w:t>6.1.2</w:t>
      </w:r>
      <w:r>
        <w:rPr>
          <w:rFonts w:hint="eastAsia" w:cs="Times New Roman"/>
          <w:b/>
          <w:bCs/>
          <w:color w:val="auto"/>
          <w:kern w:val="28"/>
          <w:sz w:val="24"/>
          <w:szCs w:val="24"/>
          <w:lang w:val="en-US" w:eastAsia="zh-CN" w:bidi="ar-SA"/>
        </w:rPr>
        <w:t xml:space="preserve">  </w:t>
      </w:r>
      <w:r>
        <w:rPr>
          <w:rFonts w:hint="eastAsia" w:ascii="宋体" w:hAnsi="宋体" w:eastAsia="宋体" w:cs="宋体"/>
          <w:sz w:val="24"/>
          <w:szCs w:val="24"/>
        </w:rPr>
        <w:t>本条对应GB 50378中的6.1.1条、6.2.2条，适用于各类民用建筑的运行检验评价。</w:t>
      </w:r>
    </w:p>
    <w:p>
      <w:pPr>
        <w:spacing w:line="360" w:lineRule="auto"/>
        <w:ind w:left="478" w:leftChars="228" w:firstLine="0" w:firstLineChars="0"/>
        <w:jc w:val="both"/>
        <w:rPr>
          <w:rFonts w:hint="eastAsia" w:ascii="宋体" w:hAnsi="宋体" w:eastAsia="宋体" w:cs="宋体"/>
          <w:sz w:val="24"/>
          <w:szCs w:val="24"/>
        </w:rPr>
      </w:pPr>
      <w:r>
        <w:rPr>
          <w:rFonts w:hint="eastAsia" w:ascii="宋体" w:hAnsi="宋体" w:eastAsia="宋体" w:cs="宋体"/>
          <w:sz w:val="24"/>
          <w:szCs w:val="24"/>
        </w:rPr>
        <w:t>本条重点现场核查建筑公共区域的无障碍设施配套，充分保证使用者，特别是行动不便的老人、残疾人、儿童行走安全；保证建筑使用者出现突发病症时，更方便地利用垂直交通。</w:t>
      </w:r>
    </w:p>
    <w:p>
      <w:pPr>
        <w:spacing w:line="360" w:lineRule="auto"/>
        <w:ind w:left="478" w:leftChars="228" w:firstLine="0" w:firstLineChars="0"/>
        <w:jc w:val="both"/>
        <w:rPr>
          <w:rFonts w:hint="eastAsia" w:ascii="宋体" w:hAnsi="宋体" w:eastAsia="宋体" w:cs="宋体"/>
          <w:sz w:val="24"/>
          <w:szCs w:val="24"/>
        </w:rPr>
      </w:pPr>
      <w:r>
        <w:rPr>
          <w:rFonts w:hint="eastAsia" w:ascii="宋体" w:hAnsi="宋体" w:eastAsia="宋体" w:cs="宋体"/>
          <w:sz w:val="24"/>
          <w:szCs w:val="24"/>
        </w:rPr>
        <w:t>无障碍设计需满足现行国家标准《建筑与市政工程无障碍通用规范》（GB 55019-2021）、《无障碍设计规范》GB 50763-2012和深圳市地方标准《无障碍设计标准》（SJG 103-2021）的相关要求。</w:t>
      </w:r>
    </w:p>
    <w:p>
      <w:pPr>
        <w:widowControl w:val="0"/>
        <w:numPr>
          <w:ilvl w:val="1"/>
          <w:numId w:val="0"/>
        </w:numPr>
        <w:spacing w:before="312" w:beforeLines="100" w:after="0" w:line="360" w:lineRule="auto"/>
        <w:ind w:left="567" w:leftChars="0" w:hanging="567" w:firstLineChars="0"/>
        <w:jc w:val="center"/>
        <w:outlineLvl w:val="1"/>
        <w:rPr>
          <w:rFonts w:ascii="Times New Roman" w:hAnsi="Times New Roman" w:eastAsia="黑体" w:cs="Times New Roman"/>
          <w:b/>
          <w:bCs/>
          <w:kern w:val="28"/>
          <w:sz w:val="24"/>
          <w:szCs w:val="32"/>
          <w:lang w:val="zh-CN" w:eastAsia="zh-CN" w:bidi="ar-SA"/>
        </w:rPr>
      </w:pPr>
      <w:r>
        <w:rPr>
          <w:rFonts w:hint="default" w:ascii="Times New Roman" w:hAnsi="Times New Roman" w:eastAsia="黑体" w:cs="Times New Roman"/>
          <w:b/>
          <w:bCs/>
          <w:kern w:val="28"/>
          <w:sz w:val="24"/>
          <w:szCs w:val="32"/>
          <w:lang w:val="zh-CN" w:eastAsia="zh-CN" w:bidi="ar-SA"/>
        </w:rPr>
        <w:t>6.2</w:t>
      </w:r>
      <w:r>
        <w:rPr>
          <w:rFonts w:hint="eastAsia" w:eastAsia="黑体" w:cs="Times New Roman"/>
          <w:b/>
          <w:bCs/>
          <w:kern w:val="28"/>
          <w:sz w:val="24"/>
          <w:szCs w:val="32"/>
          <w:lang w:val="en-US" w:eastAsia="zh-CN" w:bidi="ar-SA"/>
        </w:rPr>
        <w:t xml:space="preserve"> </w:t>
      </w:r>
      <w:r>
        <w:rPr>
          <w:rFonts w:ascii="Times New Roman" w:hAnsi="Times New Roman" w:eastAsia="黑体" w:cs="Times New Roman"/>
          <w:b/>
          <w:bCs/>
          <w:kern w:val="28"/>
          <w:sz w:val="24"/>
          <w:szCs w:val="32"/>
          <w:lang w:val="zh-CN" w:eastAsia="zh-CN" w:bidi="ar-SA"/>
        </w:rPr>
        <w:t>服务设施</w:t>
      </w:r>
    </w:p>
    <w:p>
      <w:pPr>
        <w:spacing w:line="360" w:lineRule="auto"/>
        <w:ind w:left="478" w:leftChars="228" w:firstLine="0" w:firstLineChars="0"/>
        <w:jc w:val="both"/>
        <w:rPr>
          <w:rFonts w:hint="eastAsia" w:ascii="宋体" w:hAnsi="宋体" w:eastAsia="宋体" w:cs="宋体"/>
          <w:sz w:val="24"/>
          <w:szCs w:val="24"/>
        </w:rPr>
      </w:pPr>
      <w:r>
        <w:rPr>
          <w:rFonts w:hint="default" w:ascii="Times New Roman" w:hAnsi="Times New Roman" w:eastAsia="宋体" w:cs="Times New Roman"/>
          <w:b/>
          <w:bCs/>
          <w:color w:val="auto"/>
          <w:kern w:val="28"/>
          <w:sz w:val="24"/>
          <w:szCs w:val="24"/>
          <w:lang w:val="zh-CN" w:eastAsia="zh-CN" w:bidi="ar-SA"/>
        </w:rPr>
        <w:t>6.2.</w:t>
      </w:r>
      <w:r>
        <w:rPr>
          <w:rFonts w:hint="eastAsia" w:cs="Times New Roman"/>
          <w:b/>
          <w:bCs/>
          <w:color w:val="auto"/>
          <w:kern w:val="28"/>
          <w:sz w:val="24"/>
          <w:szCs w:val="24"/>
          <w:lang w:val="en-US" w:eastAsia="zh-CN" w:bidi="ar-SA"/>
        </w:rPr>
        <w:t xml:space="preserve">1  </w:t>
      </w:r>
      <w:r>
        <w:rPr>
          <w:rFonts w:hint="eastAsia" w:ascii="宋体" w:hAnsi="宋体" w:eastAsia="宋体" w:cs="宋体"/>
          <w:sz w:val="24"/>
          <w:szCs w:val="24"/>
        </w:rPr>
        <w:t>本条对应GB 50378中的6.1.3条、6.1.4条、6.2.3条，适用于各类民用建筑的运行检验评价。</w:t>
      </w:r>
    </w:p>
    <w:p>
      <w:pPr>
        <w:spacing w:line="360" w:lineRule="auto"/>
        <w:ind w:left="478" w:leftChars="228" w:firstLine="0" w:firstLineChars="0"/>
        <w:jc w:val="both"/>
        <w:rPr>
          <w:rFonts w:hint="eastAsia" w:ascii="宋体" w:hAnsi="宋体" w:eastAsia="宋体" w:cs="宋体"/>
          <w:sz w:val="24"/>
          <w:szCs w:val="24"/>
        </w:rPr>
      </w:pPr>
      <w:r>
        <w:rPr>
          <w:rFonts w:hint="eastAsia" w:ascii="宋体" w:hAnsi="宋体" w:eastAsia="宋体" w:cs="宋体"/>
          <w:sz w:val="24"/>
          <w:szCs w:val="24"/>
        </w:rPr>
        <w:t>住宅建筑现场核查场地内部及周边的幼儿园、小学、中学、医院、群众文化活动设施、老年人日间照料设施和商业服务设施的布局。</w:t>
      </w:r>
    </w:p>
    <w:p>
      <w:pPr>
        <w:spacing w:line="360" w:lineRule="auto"/>
        <w:ind w:left="478" w:leftChars="228" w:firstLine="0" w:firstLineChars="0"/>
        <w:jc w:val="both"/>
        <w:rPr>
          <w:rFonts w:ascii="Times New Roman" w:hAnsi="Times New Roman" w:cs="Times New Roman"/>
          <w:i/>
          <w:sz w:val="24"/>
          <w:szCs w:val="24"/>
        </w:rPr>
      </w:pPr>
      <w:r>
        <w:rPr>
          <w:rFonts w:hint="eastAsia" w:ascii="宋体" w:hAnsi="宋体" w:eastAsia="宋体" w:cs="宋体"/>
          <w:sz w:val="24"/>
          <w:szCs w:val="24"/>
        </w:rPr>
        <w:t>公共建筑现场核查场地内部面向社会的公共服务功能、面向社会的公共活动空间、面向社会的步行公共通道、电动汽车充电桩的配建比例、周边社会公共停车场（库）的布局。</w:t>
      </w:r>
    </w:p>
    <w:p>
      <w:pPr>
        <w:widowControl/>
        <w:spacing w:line="360" w:lineRule="auto"/>
        <w:ind w:firstLine="480" w:firstLineChars="200"/>
        <w:jc w:val="left"/>
        <w:rPr>
          <w:rFonts w:ascii="Times New Roman" w:hAnsi="Times New Roman" w:cs="Times New Roman"/>
          <w:color w:val="000000"/>
          <w:kern w:val="0"/>
          <w:sz w:val="24"/>
          <w:szCs w:val="24"/>
        </w:rPr>
      </w:pPr>
      <w:r>
        <w:rPr>
          <w:rFonts w:hint="default" w:ascii="Times New Roman" w:hAnsi="Times New Roman" w:eastAsia="宋体" w:cs="Times New Roman"/>
          <w:b/>
          <w:bCs/>
          <w:color w:val="auto"/>
          <w:kern w:val="28"/>
          <w:sz w:val="24"/>
          <w:szCs w:val="24"/>
          <w:lang w:val="zh-CN" w:eastAsia="zh-CN" w:bidi="ar-SA"/>
        </w:rPr>
        <w:t>6.2.2</w:t>
      </w:r>
      <w:r>
        <w:rPr>
          <w:rFonts w:hint="eastAsia" w:cs="Times New Roman"/>
          <w:b/>
          <w:bCs/>
          <w:color w:val="auto"/>
          <w:kern w:val="28"/>
          <w:sz w:val="24"/>
          <w:szCs w:val="24"/>
          <w:lang w:val="en-US" w:eastAsia="zh-CN" w:bidi="ar-SA"/>
        </w:rPr>
        <w:t xml:space="preserve">  </w:t>
      </w:r>
      <w:r>
        <w:rPr>
          <w:rFonts w:ascii="Times New Roman" w:hAnsi="Times New Roman" w:cs="Times New Roman"/>
          <w:color w:val="000000"/>
          <w:kern w:val="0"/>
          <w:sz w:val="24"/>
          <w:szCs w:val="24"/>
        </w:rPr>
        <w:t>本条对应GB 50378中的6.2.4条，适用于各类民用建筑的运行检验评价。</w:t>
      </w:r>
    </w:p>
    <w:p>
      <w:pPr>
        <w:widowControl/>
        <w:spacing w:line="360" w:lineRule="auto"/>
        <w:ind w:left="478" w:leftChars="228" w:firstLine="0" w:firstLineChars="0"/>
        <w:jc w:val="left"/>
        <w:rPr>
          <w:rFonts w:ascii="Times New Roman" w:hAnsi="Times New Roman" w:cs="Times New Roman"/>
          <w:color w:val="FF0000"/>
          <w:kern w:val="0"/>
          <w:sz w:val="24"/>
          <w:szCs w:val="24"/>
        </w:rPr>
      </w:pPr>
      <w:r>
        <w:rPr>
          <w:rFonts w:ascii="Times New Roman" w:hAnsi="Times New Roman" w:cs="Times New Roman"/>
          <w:color w:val="000000"/>
          <w:kern w:val="0"/>
          <w:sz w:val="24"/>
          <w:szCs w:val="24"/>
        </w:rPr>
        <w:t>本条重点现场核查场地周边城市绿地、广场及公共运动场地等开敞空间的步行到达情况。</w:t>
      </w:r>
    </w:p>
    <w:p>
      <w:pPr>
        <w:spacing w:line="360" w:lineRule="auto"/>
        <w:ind w:left="478" w:leftChars="228" w:firstLine="0" w:firstLineChars="0"/>
        <w:jc w:val="both"/>
        <w:rPr>
          <w:rFonts w:hint="eastAsia" w:ascii="宋体" w:hAnsi="宋体" w:eastAsia="宋体" w:cs="宋体"/>
          <w:sz w:val="24"/>
          <w:szCs w:val="24"/>
        </w:rPr>
      </w:pPr>
      <w:r>
        <w:rPr>
          <w:rFonts w:hint="default" w:ascii="Times New Roman" w:hAnsi="Times New Roman" w:eastAsia="宋体" w:cs="Times New Roman"/>
          <w:b/>
          <w:bCs/>
          <w:color w:val="auto"/>
          <w:kern w:val="28"/>
          <w:sz w:val="24"/>
          <w:szCs w:val="24"/>
          <w:lang w:val="zh-CN" w:eastAsia="zh-CN" w:bidi="ar-SA"/>
        </w:rPr>
        <w:t>6.2.3</w:t>
      </w:r>
      <w:r>
        <w:rPr>
          <w:rFonts w:hint="eastAsia" w:cs="Times New Roman"/>
          <w:b/>
          <w:bCs/>
          <w:color w:val="auto"/>
          <w:kern w:val="28"/>
          <w:sz w:val="24"/>
          <w:szCs w:val="24"/>
          <w:lang w:val="en-US" w:eastAsia="zh-CN" w:bidi="ar-SA"/>
        </w:rPr>
        <w:t xml:space="preserve">  </w:t>
      </w:r>
      <w:r>
        <w:rPr>
          <w:rFonts w:hint="eastAsia" w:ascii="宋体" w:hAnsi="宋体" w:eastAsia="宋体" w:cs="宋体"/>
          <w:sz w:val="24"/>
          <w:szCs w:val="24"/>
        </w:rPr>
        <w:t>本条对应GB 50378中的6.2.5条，适用于各类民用建筑的运行检验评价。</w:t>
      </w:r>
    </w:p>
    <w:p>
      <w:pPr>
        <w:spacing w:line="360" w:lineRule="auto"/>
        <w:ind w:left="478" w:leftChars="228" w:firstLine="0" w:firstLineChars="0"/>
        <w:jc w:val="both"/>
        <w:rPr>
          <w:rFonts w:hint="eastAsia" w:ascii="宋体" w:hAnsi="宋体" w:eastAsia="宋体" w:cs="宋体"/>
          <w:sz w:val="24"/>
          <w:szCs w:val="24"/>
        </w:rPr>
      </w:pPr>
      <w:r>
        <w:rPr>
          <w:rFonts w:hint="eastAsia" w:ascii="宋体" w:hAnsi="宋体" w:eastAsia="宋体" w:cs="宋体"/>
          <w:sz w:val="24"/>
          <w:szCs w:val="24"/>
        </w:rPr>
        <w:t>本条重点现场核查室内外健身设施场所的通达便捷性及设施的产品选用情况。</w:t>
      </w:r>
    </w:p>
    <w:p>
      <w:pPr>
        <w:widowControl w:val="0"/>
        <w:numPr>
          <w:ilvl w:val="1"/>
          <w:numId w:val="0"/>
        </w:numPr>
        <w:spacing w:before="312" w:beforeLines="100" w:after="0" w:line="360" w:lineRule="auto"/>
        <w:ind w:left="567" w:leftChars="0" w:hanging="567" w:firstLineChars="0"/>
        <w:jc w:val="center"/>
        <w:outlineLvl w:val="1"/>
        <w:rPr>
          <w:rFonts w:ascii="Times New Roman" w:hAnsi="Times New Roman" w:eastAsia="黑体" w:cs="Times New Roman"/>
          <w:b/>
          <w:bCs/>
          <w:kern w:val="28"/>
          <w:sz w:val="24"/>
          <w:szCs w:val="32"/>
          <w:lang w:val="zh-CN" w:eastAsia="zh-CN" w:bidi="ar-SA"/>
        </w:rPr>
      </w:pPr>
      <w:r>
        <w:rPr>
          <w:rFonts w:hint="default" w:ascii="Times New Roman" w:hAnsi="Times New Roman" w:eastAsia="黑体" w:cs="Times New Roman"/>
          <w:b/>
          <w:bCs/>
          <w:kern w:val="28"/>
          <w:sz w:val="24"/>
          <w:szCs w:val="32"/>
          <w:lang w:val="zh-CN" w:eastAsia="zh-CN" w:bidi="ar-SA"/>
        </w:rPr>
        <w:t>6.3</w:t>
      </w:r>
      <w:r>
        <w:rPr>
          <w:rFonts w:hint="eastAsia" w:eastAsia="黑体" w:cs="Times New Roman"/>
          <w:b/>
          <w:bCs/>
          <w:kern w:val="28"/>
          <w:sz w:val="24"/>
          <w:szCs w:val="32"/>
          <w:lang w:val="en-US" w:eastAsia="zh-CN" w:bidi="ar-SA"/>
        </w:rPr>
        <w:t xml:space="preserve"> </w:t>
      </w:r>
      <w:r>
        <w:rPr>
          <w:rFonts w:ascii="Times New Roman" w:hAnsi="Times New Roman" w:eastAsia="黑体" w:cs="Times New Roman"/>
          <w:b/>
          <w:bCs/>
          <w:kern w:val="28"/>
          <w:sz w:val="24"/>
          <w:szCs w:val="32"/>
          <w:lang w:val="zh-CN" w:eastAsia="zh-CN" w:bidi="ar-SA"/>
        </w:rPr>
        <w:t>智慧运行</w:t>
      </w:r>
    </w:p>
    <w:p>
      <w:pPr>
        <w:spacing w:line="360" w:lineRule="auto"/>
        <w:ind w:left="478" w:leftChars="228" w:firstLine="0" w:firstLineChars="0"/>
        <w:jc w:val="both"/>
        <w:rPr>
          <w:rFonts w:hint="eastAsia" w:ascii="宋体" w:hAnsi="宋体" w:eastAsia="宋体" w:cs="宋体"/>
          <w:sz w:val="24"/>
          <w:szCs w:val="24"/>
        </w:rPr>
      </w:pPr>
      <w:r>
        <w:rPr>
          <w:rFonts w:hint="default" w:ascii="Times New Roman" w:hAnsi="Times New Roman" w:eastAsia="宋体" w:cs="Times New Roman"/>
          <w:b/>
          <w:bCs/>
          <w:color w:val="auto"/>
          <w:kern w:val="28"/>
          <w:sz w:val="24"/>
          <w:szCs w:val="24"/>
          <w:lang w:val="zh-CN" w:eastAsia="zh-CN" w:bidi="ar-SA"/>
        </w:rPr>
        <w:t>6.3.1</w:t>
      </w:r>
      <w:r>
        <w:rPr>
          <w:rFonts w:hint="eastAsia" w:cs="Times New Roman"/>
          <w:b/>
          <w:bCs/>
          <w:color w:val="auto"/>
          <w:kern w:val="28"/>
          <w:sz w:val="24"/>
          <w:szCs w:val="24"/>
          <w:lang w:val="en-US" w:eastAsia="zh-CN" w:bidi="ar-SA"/>
        </w:rPr>
        <w:t xml:space="preserve">  </w:t>
      </w:r>
      <w:r>
        <w:rPr>
          <w:rFonts w:hint="eastAsia" w:ascii="宋体" w:hAnsi="宋体" w:eastAsia="宋体" w:cs="宋体"/>
          <w:sz w:val="24"/>
          <w:szCs w:val="24"/>
        </w:rPr>
        <w:t>本条对应GB 50378中的6.2.6条，本条适用于各类民用建筑的运行检验评价。</w:t>
      </w:r>
    </w:p>
    <w:p>
      <w:pPr>
        <w:spacing w:line="360" w:lineRule="auto"/>
        <w:ind w:left="478" w:leftChars="228" w:firstLine="0" w:firstLineChars="0"/>
        <w:jc w:val="both"/>
        <w:rPr>
          <w:rFonts w:hint="eastAsia" w:ascii="宋体" w:hAnsi="宋体" w:eastAsia="宋体" w:cs="宋体"/>
          <w:sz w:val="24"/>
          <w:szCs w:val="24"/>
        </w:rPr>
      </w:pPr>
      <w:r>
        <w:rPr>
          <w:rFonts w:hint="eastAsia" w:ascii="宋体" w:hAnsi="宋体" w:eastAsia="宋体" w:cs="宋体"/>
          <w:sz w:val="24"/>
          <w:szCs w:val="24"/>
        </w:rPr>
        <w:t>本条重点现场核查建筑设备远传计量系统维保机制，确保能耗监测数据的准确性。</w:t>
      </w:r>
    </w:p>
    <w:p>
      <w:pPr>
        <w:spacing w:line="360" w:lineRule="auto"/>
        <w:ind w:left="478" w:leftChars="228" w:firstLine="0" w:firstLineChars="0"/>
        <w:jc w:val="both"/>
        <w:rPr>
          <w:rFonts w:hint="eastAsia" w:ascii="宋体" w:hAnsi="宋体" w:eastAsia="宋体" w:cs="宋体"/>
          <w:sz w:val="24"/>
          <w:szCs w:val="24"/>
        </w:rPr>
      </w:pPr>
      <w:r>
        <w:rPr>
          <w:rFonts w:hint="default" w:ascii="Times New Roman" w:hAnsi="Times New Roman" w:eastAsia="宋体" w:cs="Times New Roman"/>
          <w:b/>
          <w:bCs/>
          <w:color w:val="auto"/>
          <w:kern w:val="28"/>
          <w:sz w:val="24"/>
          <w:szCs w:val="24"/>
          <w:lang w:val="zh-CN" w:eastAsia="zh-CN" w:bidi="ar-SA"/>
        </w:rPr>
        <w:t>6.3.2</w:t>
      </w:r>
      <w:r>
        <w:rPr>
          <w:rFonts w:hint="eastAsia" w:cs="Times New Roman"/>
          <w:b/>
          <w:bCs/>
          <w:color w:val="auto"/>
          <w:kern w:val="28"/>
          <w:sz w:val="24"/>
          <w:szCs w:val="24"/>
          <w:lang w:val="en-US" w:eastAsia="zh-CN" w:bidi="ar-SA"/>
        </w:rPr>
        <w:t xml:space="preserve">  </w:t>
      </w:r>
      <w:r>
        <w:rPr>
          <w:rFonts w:hint="eastAsia" w:ascii="宋体" w:hAnsi="宋体" w:eastAsia="宋体" w:cs="宋体"/>
          <w:sz w:val="24"/>
          <w:szCs w:val="24"/>
        </w:rPr>
        <w:t>本条对应GB 50378中的6.2.7条，适用于各类民用建筑的运行检验评价。</w:t>
      </w:r>
    </w:p>
    <w:p>
      <w:pPr>
        <w:spacing w:line="360" w:lineRule="auto"/>
        <w:ind w:left="478" w:leftChars="228" w:firstLine="0" w:firstLineChars="0"/>
        <w:jc w:val="both"/>
        <w:rPr>
          <w:rFonts w:hint="eastAsia" w:ascii="宋体" w:hAnsi="宋体" w:eastAsia="宋体" w:cs="宋体"/>
          <w:sz w:val="24"/>
          <w:szCs w:val="24"/>
        </w:rPr>
      </w:pPr>
      <w:r>
        <w:rPr>
          <w:rFonts w:hint="eastAsia" w:ascii="宋体" w:hAnsi="宋体" w:eastAsia="宋体" w:cs="宋体"/>
          <w:sz w:val="24"/>
          <w:szCs w:val="24"/>
        </w:rPr>
        <w:t>本条重点现场核查场地内PM10、PM2.5、CO2 浓度的空气质量监测系统、监测数据储存和实时显示等功能的使用情况。</w:t>
      </w:r>
    </w:p>
    <w:p>
      <w:pPr>
        <w:spacing w:line="360" w:lineRule="auto"/>
        <w:ind w:left="478" w:leftChars="228" w:firstLine="0" w:firstLineChars="0"/>
        <w:jc w:val="both"/>
        <w:rPr>
          <w:rFonts w:hint="eastAsia" w:ascii="宋体" w:hAnsi="宋体" w:eastAsia="宋体" w:cs="宋体"/>
          <w:sz w:val="24"/>
          <w:szCs w:val="24"/>
        </w:rPr>
      </w:pPr>
      <w:r>
        <w:rPr>
          <w:rFonts w:hint="eastAsia" w:ascii="宋体" w:hAnsi="宋体" w:eastAsia="宋体" w:cs="宋体"/>
          <w:sz w:val="24"/>
          <w:szCs w:val="24"/>
        </w:rPr>
        <w:t>场地内PM10、PM2.5、CO2 浓度的空气质量需满足《环境空气质量标准》GB 3095-2012、《室内空气质量标准》GB/T 18889-2022的相关要求。</w:t>
      </w:r>
    </w:p>
    <w:p>
      <w:pPr>
        <w:spacing w:line="360" w:lineRule="auto"/>
        <w:ind w:left="478" w:leftChars="228" w:firstLine="0" w:firstLineChars="0"/>
        <w:jc w:val="both"/>
        <w:rPr>
          <w:rFonts w:hint="eastAsia" w:ascii="宋体" w:hAnsi="宋体" w:eastAsia="宋体" w:cs="宋体"/>
          <w:sz w:val="24"/>
          <w:szCs w:val="24"/>
        </w:rPr>
      </w:pPr>
      <w:r>
        <w:rPr>
          <w:rFonts w:hint="default" w:ascii="Times New Roman" w:hAnsi="Times New Roman" w:eastAsia="宋体" w:cs="Times New Roman"/>
          <w:b/>
          <w:bCs/>
          <w:color w:val="auto"/>
          <w:kern w:val="28"/>
          <w:sz w:val="24"/>
          <w:szCs w:val="24"/>
          <w:lang w:val="zh-CN" w:eastAsia="zh-CN" w:bidi="ar-SA"/>
        </w:rPr>
        <w:t>6.3.3</w:t>
      </w:r>
      <w:r>
        <w:rPr>
          <w:rFonts w:hint="eastAsia" w:cs="Times New Roman"/>
          <w:b/>
          <w:bCs/>
          <w:color w:val="auto"/>
          <w:kern w:val="28"/>
          <w:sz w:val="24"/>
          <w:szCs w:val="24"/>
          <w:lang w:val="en-US" w:eastAsia="zh-CN" w:bidi="ar-SA"/>
        </w:rPr>
        <w:t xml:space="preserve">  </w:t>
      </w:r>
      <w:r>
        <w:rPr>
          <w:rFonts w:hint="eastAsia" w:ascii="宋体" w:hAnsi="宋体" w:eastAsia="宋体" w:cs="宋体"/>
          <w:sz w:val="24"/>
          <w:szCs w:val="24"/>
        </w:rPr>
        <w:t>本条对应GB 50378中的6.2.8条，适用于各类民用建筑的运行检验评价。</w:t>
      </w:r>
    </w:p>
    <w:p>
      <w:pPr>
        <w:spacing w:line="360" w:lineRule="auto"/>
        <w:ind w:left="478" w:leftChars="228" w:firstLine="0" w:firstLineChars="0"/>
        <w:jc w:val="both"/>
        <w:rPr>
          <w:rFonts w:hint="eastAsia" w:ascii="宋体" w:hAnsi="宋体" w:eastAsia="宋体" w:cs="宋体"/>
          <w:sz w:val="24"/>
          <w:szCs w:val="24"/>
        </w:rPr>
      </w:pPr>
      <w:r>
        <w:rPr>
          <w:rFonts w:hint="eastAsia" w:ascii="宋体" w:hAnsi="宋体" w:eastAsia="宋体" w:cs="宋体"/>
          <w:sz w:val="24"/>
          <w:szCs w:val="24"/>
        </w:rPr>
        <w:t>本条重点现场核查分类分级计量装置、水质在线监测装置的设置情况和数据统计分析报告，审核物业管理措施和管理记录。</w:t>
      </w:r>
    </w:p>
    <w:p>
      <w:pPr>
        <w:spacing w:line="360" w:lineRule="auto"/>
        <w:ind w:left="478" w:leftChars="228" w:firstLine="0" w:firstLineChars="0"/>
        <w:jc w:val="both"/>
        <w:rPr>
          <w:rFonts w:hint="eastAsia" w:ascii="宋体" w:hAnsi="宋体" w:eastAsia="宋体" w:cs="宋体"/>
          <w:sz w:val="24"/>
          <w:szCs w:val="24"/>
        </w:rPr>
      </w:pPr>
      <w:r>
        <w:rPr>
          <w:rFonts w:hint="default" w:ascii="Times New Roman" w:hAnsi="Times New Roman" w:eastAsia="宋体" w:cs="Times New Roman"/>
          <w:b/>
          <w:bCs/>
          <w:color w:val="auto"/>
          <w:kern w:val="28"/>
          <w:sz w:val="24"/>
          <w:szCs w:val="24"/>
          <w:lang w:val="zh-CN" w:eastAsia="zh-CN" w:bidi="ar-SA"/>
        </w:rPr>
        <w:t>6.3.4</w:t>
      </w:r>
      <w:r>
        <w:rPr>
          <w:rFonts w:hint="eastAsia" w:cs="Times New Roman"/>
          <w:b/>
          <w:bCs/>
          <w:color w:val="auto"/>
          <w:kern w:val="28"/>
          <w:sz w:val="24"/>
          <w:szCs w:val="24"/>
          <w:lang w:val="en-US" w:eastAsia="zh-CN" w:bidi="ar-SA"/>
        </w:rPr>
        <w:t xml:space="preserve">  </w:t>
      </w:r>
      <w:r>
        <w:rPr>
          <w:rFonts w:hint="eastAsia" w:ascii="宋体" w:hAnsi="宋体" w:eastAsia="宋体" w:cs="宋体"/>
          <w:sz w:val="24"/>
          <w:szCs w:val="24"/>
        </w:rPr>
        <w:t>本条对应GB 50378中的6.1.5条、6.2.9条，适用于各类民用建筑的运行检验评价。</w:t>
      </w:r>
    </w:p>
    <w:p>
      <w:pPr>
        <w:spacing w:line="360" w:lineRule="auto"/>
        <w:ind w:left="478" w:leftChars="228" w:firstLine="0" w:firstLineChars="0"/>
        <w:jc w:val="both"/>
        <w:rPr>
          <w:rFonts w:hint="eastAsia" w:ascii="宋体" w:hAnsi="宋体" w:eastAsia="宋体" w:cs="宋体"/>
          <w:sz w:val="24"/>
          <w:szCs w:val="24"/>
        </w:rPr>
      </w:pPr>
      <w:r>
        <w:rPr>
          <w:rFonts w:hint="eastAsia" w:ascii="宋体" w:hAnsi="宋体" w:eastAsia="宋体" w:cs="宋体"/>
          <w:sz w:val="24"/>
          <w:szCs w:val="24"/>
        </w:rPr>
        <w:t>本条重点现场核查场地内采用了哪些智能化服务以及与智慧城市（城区、社区）平台的连接。</w:t>
      </w:r>
    </w:p>
    <w:p>
      <w:pPr>
        <w:widowControl w:val="0"/>
        <w:numPr>
          <w:ilvl w:val="1"/>
          <w:numId w:val="0"/>
        </w:numPr>
        <w:spacing w:before="312" w:beforeLines="100" w:after="0" w:line="360" w:lineRule="auto"/>
        <w:ind w:left="567" w:leftChars="0" w:hanging="567" w:firstLineChars="0"/>
        <w:jc w:val="center"/>
        <w:outlineLvl w:val="1"/>
        <w:rPr>
          <w:rFonts w:ascii="Times New Roman" w:hAnsi="Times New Roman" w:eastAsia="黑体" w:cs="Times New Roman"/>
          <w:b/>
          <w:bCs/>
          <w:kern w:val="28"/>
          <w:sz w:val="24"/>
          <w:szCs w:val="32"/>
          <w:lang w:val="zh-CN" w:eastAsia="zh-CN" w:bidi="ar-SA"/>
        </w:rPr>
      </w:pPr>
      <w:r>
        <w:rPr>
          <w:rFonts w:hint="default" w:ascii="Times New Roman" w:hAnsi="Times New Roman" w:eastAsia="黑体" w:cs="Times New Roman"/>
          <w:b/>
          <w:bCs/>
          <w:kern w:val="28"/>
          <w:sz w:val="24"/>
          <w:szCs w:val="32"/>
          <w:lang w:val="zh-CN" w:eastAsia="zh-CN" w:bidi="ar-SA"/>
        </w:rPr>
        <w:t>6.4</w:t>
      </w:r>
      <w:r>
        <w:rPr>
          <w:rFonts w:hint="eastAsia" w:eastAsia="黑体" w:cs="Times New Roman"/>
          <w:b/>
          <w:bCs/>
          <w:kern w:val="28"/>
          <w:sz w:val="24"/>
          <w:szCs w:val="32"/>
          <w:lang w:val="en-US" w:eastAsia="zh-CN" w:bidi="ar-SA"/>
        </w:rPr>
        <w:t xml:space="preserve"> </w:t>
      </w:r>
      <w:r>
        <w:rPr>
          <w:rFonts w:ascii="Times New Roman" w:hAnsi="Times New Roman" w:eastAsia="黑体" w:cs="Times New Roman"/>
          <w:b/>
          <w:bCs/>
          <w:kern w:val="28"/>
          <w:sz w:val="24"/>
          <w:szCs w:val="32"/>
          <w:lang w:val="zh-CN" w:eastAsia="zh-CN" w:bidi="ar-SA"/>
        </w:rPr>
        <w:t>物业管理</w:t>
      </w:r>
    </w:p>
    <w:p>
      <w:pPr>
        <w:spacing w:line="360" w:lineRule="auto"/>
        <w:ind w:left="478" w:leftChars="228" w:firstLine="0" w:firstLineChars="0"/>
        <w:jc w:val="both"/>
        <w:rPr>
          <w:rFonts w:hint="eastAsia" w:ascii="宋体" w:hAnsi="宋体" w:eastAsia="宋体" w:cs="宋体"/>
          <w:sz w:val="24"/>
          <w:szCs w:val="24"/>
        </w:rPr>
      </w:pPr>
      <w:r>
        <w:rPr>
          <w:rFonts w:hint="default" w:ascii="Times New Roman" w:hAnsi="Times New Roman" w:eastAsia="宋体" w:cs="Times New Roman"/>
          <w:b/>
          <w:bCs/>
          <w:color w:val="auto"/>
          <w:kern w:val="28"/>
          <w:sz w:val="24"/>
          <w:szCs w:val="24"/>
          <w:lang w:val="zh-CN" w:eastAsia="zh-CN" w:bidi="ar-SA"/>
        </w:rPr>
        <w:t>6.4.1</w:t>
      </w:r>
      <w:r>
        <w:rPr>
          <w:rFonts w:hint="eastAsia" w:cs="Times New Roman"/>
          <w:b/>
          <w:bCs/>
          <w:color w:val="auto"/>
          <w:kern w:val="28"/>
          <w:sz w:val="24"/>
          <w:szCs w:val="24"/>
          <w:lang w:val="en-US" w:eastAsia="zh-CN" w:bidi="ar-SA"/>
        </w:rPr>
        <w:t xml:space="preserve">  </w:t>
      </w:r>
      <w:r>
        <w:rPr>
          <w:rFonts w:hint="eastAsia" w:ascii="宋体" w:hAnsi="宋体" w:eastAsia="宋体" w:cs="宋体"/>
          <w:sz w:val="24"/>
          <w:szCs w:val="24"/>
        </w:rPr>
        <w:t>本条对应GB 50378中的6.2.10条，适用于各类民用建筑的运行检验评价。</w:t>
      </w:r>
    </w:p>
    <w:p>
      <w:pPr>
        <w:spacing w:line="360" w:lineRule="auto"/>
        <w:ind w:left="478" w:leftChars="228" w:firstLine="0" w:firstLineChars="0"/>
        <w:jc w:val="both"/>
        <w:rPr>
          <w:rFonts w:hint="eastAsia" w:ascii="宋体" w:hAnsi="宋体" w:eastAsia="宋体" w:cs="宋体"/>
          <w:sz w:val="24"/>
          <w:szCs w:val="24"/>
        </w:rPr>
      </w:pPr>
      <w:r>
        <w:rPr>
          <w:rFonts w:hint="eastAsia" w:ascii="宋体" w:hAnsi="宋体" w:eastAsia="宋体" w:cs="宋体"/>
          <w:sz w:val="24"/>
          <w:szCs w:val="24"/>
        </w:rPr>
        <w:t>本条重点现场核查物业管理机构应有相关月度、季度、半年度、年度的预防性维护和应急预案定期演练的记录。</w:t>
      </w:r>
    </w:p>
    <w:p>
      <w:pPr>
        <w:spacing w:line="360" w:lineRule="auto"/>
        <w:ind w:left="478" w:leftChars="228" w:firstLine="0" w:firstLineChars="0"/>
        <w:jc w:val="both"/>
        <w:rPr>
          <w:rFonts w:hint="eastAsia" w:ascii="宋体" w:hAnsi="宋体" w:eastAsia="宋体" w:cs="宋体"/>
          <w:sz w:val="24"/>
          <w:szCs w:val="24"/>
        </w:rPr>
      </w:pPr>
      <w:r>
        <w:rPr>
          <w:rFonts w:hint="default" w:ascii="Times New Roman" w:hAnsi="Times New Roman" w:eastAsia="宋体" w:cs="Times New Roman"/>
          <w:b/>
          <w:bCs/>
          <w:color w:val="auto"/>
          <w:kern w:val="28"/>
          <w:sz w:val="24"/>
          <w:szCs w:val="24"/>
          <w:lang w:val="zh-CN" w:eastAsia="zh-CN" w:bidi="ar-SA"/>
        </w:rPr>
        <w:t>6.4.2</w:t>
      </w:r>
      <w:r>
        <w:rPr>
          <w:rFonts w:hint="eastAsia" w:cs="Times New Roman"/>
          <w:b/>
          <w:bCs/>
          <w:color w:val="auto"/>
          <w:kern w:val="28"/>
          <w:sz w:val="24"/>
          <w:szCs w:val="24"/>
          <w:lang w:val="en-US" w:eastAsia="zh-CN" w:bidi="ar-SA"/>
        </w:rPr>
        <w:t xml:space="preserve">  </w:t>
      </w:r>
      <w:r>
        <w:rPr>
          <w:rFonts w:hint="eastAsia" w:ascii="宋体" w:hAnsi="宋体" w:eastAsia="宋体" w:cs="宋体"/>
          <w:sz w:val="24"/>
          <w:szCs w:val="24"/>
        </w:rPr>
        <w:t>本条对应GB 50378中的6.2.11条，适用于各类民用建筑的运行检验评价。</w:t>
      </w:r>
    </w:p>
    <w:p>
      <w:pPr>
        <w:spacing w:line="360" w:lineRule="auto"/>
        <w:ind w:left="478" w:leftChars="228" w:firstLine="0" w:firstLineChars="0"/>
        <w:jc w:val="both"/>
        <w:rPr>
          <w:rFonts w:hint="eastAsia" w:ascii="宋体" w:hAnsi="宋体" w:eastAsia="宋体" w:cs="宋体"/>
          <w:sz w:val="24"/>
          <w:szCs w:val="24"/>
        </w:rPr>
      </w:pPr>
      <w:r>
        <w:rPr>
          <w:rFonts w:hint="eastAsia" w:ascii="宋体" w:hAnsi="宋体" w:eastAsia="宋体" w:cs="宋体"/>
          <w:sz w:val="24"/>
          <w:szCs w:val="24"/>
        </w:rPr>
        <w:t>本条重点现场核查项目实际运行一年后，水表计量数据和使用人数、用水面积等计算平均日用水量，并与现行国家标准《民用建筑节水设计标准》（GB 50555-2010）中节水用水定额进行比较来判定。</w:t>
      </w:r>
    </w:p>
    <w:p>
      <w:pPr>
        <w:spacing w:line="360" w:lineRule="auto"/>
        <w:ind w:left="478" w:leftChars="228" w:firstLine="0" w:firstLineChars="0"/>
        <w:jc w:val="both"/>
        <w:rPr>
          <w:rFonts w:hint="eastAsia" w:ascii="宋体" w:hAnsi="宋体" w:eastAsia="宋体" w:cs="宋体"/>
          <w:sz w:val="24"/>
          <w:szCs w:val="24"/>
        </w:rPr>
      </w:pPr>
      <w:r>
        <w:rPr>
          <w:rFonts w:hint="default" w:ascii="Times New Roman" w:hAnsi="Times New Roman" w:eastAsia="宋体" w:cs="Times New Roman"/>
          <w:b/>
          <w:bCs/>
          <w:color w:val="auto"/>
          <w:kern w:val="28"/>
          <w:sz w:val="24"/>
          <w:szCs w:val="24"/>
          <w:lang w:val="zh-CN" w:eastAsia="zh-CN" w:bidi="ar-SA"/>
        </w:rPr>
        <w:t>6.4.3</w:t>
      </w:r>
      <w:r>
        <w:rPr>
          <w:rFonts w:hint="eastAsia" w:cs="Times New Roman"/>
          <w:b/>
          <w:bCs/>
          <w:color w:val="auto"/>
          <w:kern w:val="28"/>
          <w:sz w:val="24"/>
          <w:szCs w:val="24"/>
          <w:lang w:val="en-US" w:eastAsia="zh-CN" w:bidi="ar-SA"/>
        </w:rPr>
        <w:t xml:space="preserve">  </w:t>
      </w:r>
      <w:r>
        <w:rPr>
          <w:rFonts w:hint="eastAsia" w:ascii="宋体" w:hAnsi="宋体" w:eastAsia="宋体" w:cs="宋体"/>
          <w:sz w:val="24"/>
          <w:szCs w:val="24"/>
        </w:rPr>
        <w:t>本条对应GB 50378中的6.1.6条、6.2.12条，本条适用于各类民用建筑的运行检验评价。</w:t>
      </w:r>
    </w:p>
    <w:p>
      <w:pPr>
        <w:spacing w:line="360" w:lineRule="auto"/>
        <w:ind w:left="478" w:leftChars="228" w:firstLine="0" w:firstLineChars="0"/>
        <w:jc w:val="both"/>
        <w:rPr>
          <w:rFonts w:hint="eastAsia" w:ascii="宋体" w:hAnsi="宋体" w:eastAsia="宋体" w:cs="宋体"/>
          <w:sz w:val="24"/>
          <w:szCs w:val="24"/>
        </w:rPr>
      </w:pPr>
      <w:r>
        <w:rPr>
          <w:rFonts w:hint="eastAsia" w:ascii="宋体" w:hAnsi="宋体" w:eastAsia="宋体" w:cs="宋体"/>
          <w:sz w:val="24"/>
          <w:szCs w:val="24"/>
        </w:rPr>
        <w:t>本条重点现场核查相关记录、改进措施，并向使用者核实。</w:t>
      </w:r>
    </w:p>
    <w:p>
      <w:pPr>
        <w:spacing w:line="360" w:lineRule="auto"/>
        <w:ind w:left="478" w:leftChars="228" w:firstLine="0" w:firstLineChars="0"/>
        <w:jc w:val="both"/>
        <w:rPr>
          <w:rFonts w:hint="eastAsia" w:ascii="宋体" w:hAnsi="宋体" w:eastAsia="宋体" w:cs="宋体"/>
          <w:sz w:val="24"/>
          <w:szCs w:val="24"/>
        </w:rPr>
      </w:pPr>
      <w:r>
        <w:rPr>
          <w:rFonts w:hint="default" w:ascii="Times New Roman" w:hAnsi="Times New Roman" w:eastAsia="宋体" w:cs="Times New Roman"/>
          <w:b/>
          <w:bCs/>
          <w:color w:val="auto"/>
          <w:kern w:val="28"/>
          <w:sz w:val="24"/>
          <w:szCs w:val="24"/>
          <w:lang w:val="zh-CN" w:eastAsia="zh-CN" w:bidi="ar-SA"/>
        </w:rPr>
        <w:t>6.4.4</w:t>
      </w:r>
      <w:r>
        <w:rPr>
          <w:rFonts w:hint="eastAsia" w:cs="Times New Roman"/>
          <w:b/>
          <w:bCs/>
          <w:color w:val="auto"/>
          <w:kern w:val="28"/>
          <w:sz w:val="24"/>
          <w:szCs w:val="24"/>
          <w:lang w:val="en-US" w:eastAsia="zh-CN" w:bidi="ar-SA"/>
        </w:rPr>
        <w:t xml:space="preserve">  </w:t>
      </w:r>
      <w:r>
        <w:rPr>
          <w:rFonts w:hint="eastAsia" w:ascii="宋体" w:hAnsi="宋体" w:eastAsia="宋体" w:cs="宋体"/>
          <w:sz w:val="24"/>
          <w:szCs w:val="24"/>
        </w:rPr>
        <w:t>本条对应GB 50378中的6.2.13条，适用于各类民用建筑的运行检验评价。</w:t>
      </w:r>
    </w:p>
    <w:p>
      <w:pPr>
        <w:spacing w:line="360" w:lineRule="auto"/>
        <w:ind w:left="478" w:leftChars="228" w:firstLine="0" w:firstLineChars="0"/>
        <w:jc w:val="both"/>
        <w:rPr>
          <w:rFonts w:hint="eastAsia" w:ascii="宋体" w:hAnsi="宋体" w:eastAsia="宋体" w:cs="宋体"/>
          <w:sz w:val="24"/>
          <w:szCs w:val="24"/>
        </w:rPr>
      </w:pPr>
      <w:r>
        <w:rPr>
          <w:rFonts w:hint="eastAsia" w:ascii="宋体" w:hAnsi="宋体" w:eastAsia="宋体" w:cs="宋体"/>
          <w:sz w:val="24"/>
          <w:szCs w:val="24"/>
        </w:rPr>
        <w:t>本条重点现场核查相关记录、改进措施，并向使用者核实。</w:t>
      </w:r>
    </w:p>
    <w:p>
      <w:pPr>
        <w:spacing w:line="360" w:lineRule="auto"/>
        <w:ind w:left="478" w:leftChars="228" w:firstLine="0" w:firstLineChars="0"/>
        <w:jc w:val="both"/>
        <w:rPr>
          <w:rFonts w:hint="eastAsia" w:ascii="宋体" w:hAnsi="宋体" w:eastAsia="宋体" w:cs="宋体"/>
          <w:sz w:val="24"/>
          <w:szCs w:val="24"/>
        </w:rPr>
      </w:pPr>
    </w:p>
    <w:p>
      <w:pPr>
        <w:keepNext/>
        <w:keepLines/>
        <w:widowControl w:val="0"/>
        <w:numPr>
          <w:ilvl w:val="0"/>
          <w:numId w:val="0"/>
        </w:numPr>
        <w:spacing w:before="340" w:after="330" w:line="578" w:lineRule="auto"/>
        <w:ind w:left="425" w:leftChars="0" w:hanging="425" w:firstLineChars="0"/>
        <w:jc w:val="center"/>
        <w:outlineLvl w:val="0"/>
        <w:rPr>
          <w:rFonts w:ascii="Times New Roman" w:hAnsi="Times New Roman" w:eastAsia="宋体" w:cs="Times New Roman"/>
          <w:b/>
          <w:bCs/>
          <w:kern w:val="44"/>
          <w:sz w:val="28"/>
          <w:szCs w:val="28"/>
          <w:lang w:val="en-US" w:eastAsia="zh-CN" w:bidi="ar-SA"/>
        </w:rPr>
      </w:pPr>
      <w:r>
        <w:rPr>
          <w:rFonts w:hint="eastAsia" w:ascii="Times New Roman" w:hAnsi="Times New Roman" w:eastAsia="宋体" w:cs="Times New Roman"/>
          <w:b/>
          <w:bCs/>
          <w:kern w:val="44"/>
          <w:sz w:val="28"/>
          <w:szCs w:val="28"/>
          <w:lang w:val="en-US" w:eastAsia="zh-CN" w:bidi="ar-SA"/>
        </w:rPr>
        <w:t>7</w:t>
      </w:r>
      <w:r>
        <w:rPr>
          <w:rFonts w:ascii="Times New Roman" w:hAnsi="Times New Roman" w:eastAsia="宋体" w:cs="Times New Roman"/>
          <w:b/>
          <w:bCs/>
          <w:kern w:val="44"/>
          <w:sz w:val="28"/>
          <w:szCs w:val="28"/>
          <w:lang w:val="en-US" w:eastAsia="zh-CN" w:bidi="ar-SA"/>
        </w:rPr>
        <w:t>资源节约</w:t>
      </w:r>
    </w:p>
    <w:p>
      <w:pPr>
        <w:widowControl w:val="0"/>
        <w:numPr>
          <w:ilvl w:val="1"/>
          <w:numId w:val="0"/>
        </w:numPr>
        <w:spacing w:before="312" w:beforeLines="100" w:after="0" w:line="360" w:lineRule="auto"/>
        <w:ind w:left="567" w:leftChars="0" w:hanging="567" w:firstLineChars="0"/>
        <w:jc w:val="center"/>
        <w:outlineLvl w:val="1"/>
        <w:rPr>
          <w:rFonts w:ascii="Times New Roman" w:hAnsi="Times New Roman" w:eastAsia="黑体" w:cs="Times New Roman"/>
          <w:b/>
          <w:bCs/>
          <w:kern w:val="28"/>
          <w:sz w:val="24"/>
          <w:szCs w:val="32"/>
          <w:lang w:val="zh-CN" w:eastAsia="zh-CN" w:bidi="ar-SA"/>
        </w:rPr>
      </w:pPr>
      <w:r>
        <w:rPr>
          <w:rFonts w:hint="default" w:ascii="Times New Roman" w:hAnsi="Times New Roman" w:eastAsia="黑体" w:cs="Times New Roman"/>
          <w:b/>
          <w:bCs/>
          <w:kern w:val="28"/>
          <w:sz w:val="24"/>
          <w:szCs w:val="32"/>
          <w:lang w:val="zh-CN" w:eastAsia="zh-CN" w:bidi="ar-SA"/>
        </w:rPr>
        <w:t>7.1</w:t>
      </w:r>
      <w:r>
        <w:rPr>
          <w:rFonts w:hint="eastAsia" w:eastAsia="黑体" w:cs="Times New Roman"/>
          <w:b/>
          <w:bCs/>
          <w:kern w:val="28"/>
          <w:sz w:val="24"/>
          <w:szCs w:val="32"/>
          <w:lang w:val="en-US" w:eastAsia="zh-CN" w:bidi="ar-SA"/>
        </w:rPr>
        <w:t xml:space="preserve"> </w:t>
      </w:r>
      <w:r>
        <w:rPr>
          <w:rFonts w:ascii="Times New Roman" w:hAnsi="Times New Roman" w:eastAsia="黑体" w:cs="Times New Roman"/>
          <w:b/>
          <w:bCs/>
          <w:kern w:val="28"/>
          <w:sz w:val="24"/>
          <w:szCs w:val="32"/>
          <w:lang w:val="zh-CN" w:eastAsia="zh-CN" w:bidi="ar-SA"/>
        </w:rPr>
        <w:t>节能与能源利用</w:t>
      </w:r>
    </w:p>
    <w:p>
      <w:pPr>
        <w:spacing w:line="360" w:lineRule="auto"/>
        <w:ind w:left="478" w:leftChars="228" w:firstLine="0" w:firstLineChars="0"/>
        <w:jc w:val="both"/>
        <w:rPr>
          <w:rFonts w:hint="eastAsia" w:ascii="宋体" w:hAnsi="宋体" w:eastAsia="宋体" w:cs="宋体"/>
          <w:sz w:val="24"/>
          <w:szCs w:val="24"/>
        </w:rPr>
      </w:pPr>
      <w:r>
        <w:rPr>
          <w:rFonts w:hint="default" w:ascii="Times New Roman" w:hAnsi="Times New Roman" w:eastAsia="宋体" w:cs="Times New Roman"/>
          <w:b/>
          <w:bCs w:val="0"/>
          <w:color w:val="auto"/>
          <w:kern w:val="28"/>
          <w:sz w:val="24"/>
          <w:szCs w:val="24"/>
          <w:lang w:val="zh-CN" w:eastAsia="zh-CN" w:bidi="ar-SA"/>
        </w:rPr>
        <w:t>7.1.1</w:t>
      </w:r>
      <w:r>
        <w:rPr>
          <w:rFonts w:hint="eastAsia" w:cs="Times New Roman"/>
          <w:b/>
          <w:bCs w:val="0"/>
          <w:color w:val="auto"/>
          <w:kern w:val="28"/>
          <w:sz w:val="24"/>
          <w:szCs w:val="24"/>
          <w:lang w:val="en-US" w:eastAsia="zh-CN" w:bidi="ar-SA"/>
        </w:rPr>
        <w:t xml:space="preserve">  </w:t>
      </w:r>
      <w:r>
        <w:rPr>
          <w:rFonts w:hint="eastAsia" w:ascii="宋体" w:hAnsi="宋体" w:eastAsia="宋体" w:cs="宋体"/>
          <w:sz w:val="24"/>
          <w:szCs w:val="24"/>
        </w:rPr>
        <w:t>本条对应GB 50378中的7.1.1、7.2.4条，检验围护结构传热系数。</w:t>
      </w:r>
    </w:p>
    <w:p>
      <w:pPr>
        <w:spacing w:line="360" w:lineRule="auto"/>
        <w:ind w:left="478" w:leftChars="228" w:firstLine="0" w:firstLineChars="0"/>
        <w:jc w:val="both"/>
        <w:rPr>
          <w:rFonts w:ascii="Times New Roman" w:hAnsi="Times New Roman" w:cs="Times New Roman"/>
          <w:i/>
          <w:sz w:val="24"/>
          <w:szCs w:val="24"/>
        </w:rPr>
      </w:pPr>
      <w:r>
        <w:rPr>
          <w:rFonts w:hint="eastAsia" w:ascii="宋体" w:hAnsi="宋体" w:eastAsia="宋体" w:cs="宋体"/>
          <w:sz w:val="24"/>
          <w:szCs w:val="24"/>
        </w:rPr>
        <w:t>本条重点现场核查施工图文件，建筑围护结构各部位第三方检测报告以及竣工验收文件的符合性。</w:t>
      </w:r>
    </w:p>
    <w:p>
      <w:pPr>
        <w:spacing w:line="360" w:lineRule="auto"/>
        <w:ind w:left="478" w:leftChars="228" w:firstLine="0" w:firstLineChars="0"/>
        <w:jc w:val="both"/>
        <w:rPr>
          <w:rFonts w:hint="eastAsia" w:ascii="宋体" w:hAnsi="宋体" w:eastAsia="宋体" w:cs="宋体"/>
          <w:sz w:val="24"/>
          <w:szCs w:val="24"/>
        </w:rPr>
      </w:pPr>
      <w:r>
        <w:rPr>
          <w:rFonts w:hint="default" w:ascii="Times New Roman" w:hAnsi="Times New Roman" w:eastAsia="宋体" w:cs="Times New Roman"/>
          <w:b/>
          <w:bCs/>
          <w:color w:val="auto"/>
          <w:kern w:val="28"/>
          <w:sz w:val="24"/>
          <w:szCs w:val="24"/>
          <w:lang w:val="zh-CN" w:eastAsia="zh-CN" w:bidi="ar-SA"/>
        </w:rPr>
        <w:t>7.1.2</w:t>
      </w:r>
      <w:r>
        <w:rPr>
          <w:rFonts w:hint="eastAsia" w:cs="Times New Roman"/>
          <w:b/>
          <w:bCs/>
          <w:color w:val="auto"/>
          <w:kern w:val="28"/>
          <w:sz w:val="24"/>
          <w:szCs w:val="24"/>
          <w:lang w:val="en-US" w:eastAsia="zh-CN" w:bidi="ar-SA"/>
        </w:rPr>
        <w:t xml:space="preserve">  </w:t>
      </w:r>
      <w:r>
        <w:rPr>
          <w:rFonts w:hint="eastAsia" w:ascii="宋体" w:hAnsi="宋体" w:eastAsia="宋体" w:cs="宋体"/>
          <w:sz w:val="24"/>
          <w:szCs w:val="24"/>
        </w:rPr>
        <w:t>本条对应GB 50378中的7.1.2、7.2.6条，现场核查循环泵输入功率、冷（热）水系统流量和供回水温差。</w:t>
      </w:r>
    </w:p>
    <w:p>
      <w:pPr>
        <w:spacing w:line="360" w:lineRule="auto"/>
        <w:ind w:firstLine="480" w:firstLineChars="200"/>
        <w:jc w:val="both"/>
        <w:rPr>
          <w:rFonts w:hint="eastAsia" w:ascii="宋体" w:hAnsi="宋体" w:eastAsia="宋体" w:cs="宋体"/>
          <w:sz w:val="24"/>
          <w:szCs w:val="24"/>
        </w:rPr>
      </w:pPr>
      <w:r>
        <w:rPr>
          <w:rFonts w:hint="default" w:ascii="Times New Roman" w:hAnsi="Times New Roman" w:eastAsia="宋体" w:cs="Times New Roman"/>
          <w:b/>
          <w:bCs/>
          <w:color w:val="auto"/>
          <w:kern w:val="28"/>
          <w:sz w:val="24"/>
          <w:szCs w:val="24"/>
          <w:lang w:val="zh-CN" w:eastAsia="zh-CN" w:bidi="ar-SA"/>
        </w:rPr>
        <w:t>7.1.3</w:t>
      </w:r>
      <w:r>
        <w:rPr>
          <w:rFonts w:hint="eastAsia" w:cs="Times New Roman"/>
          <w:b/>
          <w:bCs/>
          <w:color w:val="auto"/>
          <w:kern w:val="28"/>
          <w:sz w:val="24"/>
          <w:szCs w:val="24"/>
          <w:lang w:val="en-US" w:eastAsia="zh-CN" w:bidi="ar-SA"/>
        </w:rPr>
        <w:t xml:space="preserve">  </w:t>
      </w:r>
      <w:r>
        <w:rPr>
          <w:rFonts w:hint="eastAsia" w:ascii="宋体" w:hAnsi="宋体" w:eastAsia="宋体" w:cs="宋体"/>
          <w:sz w:val="24"/>
          <w:szCs w:val="24"/>
        </w:rPr>
        <w:t>本条对应GB 50378中的7.1.2、7.2.6条，检验冷源系统能效系数（EER-sys）。</w:t>
      </w:r>
    </w:p>
    <w:p>
      <w:pPr>
        <w:spacing w:line="360" w:lineRule="auto"/>
        <w:ind w:firstLine="480" w:firstLineChars="200"/>
        <w:jc w:val="both"/>
        <w:rPr>
          <w:rFonts w:hint="eastAsia" w:ascii="宋体" w:hAnsi="宋体" w:eastAsia="宋体" w:cs="宋体"/>
          <w:sz w:val="24"/>
          <w:szCs w:val="24"/>
        </w:rPr>
      </w:pPr>
      <w:r>
        <w:rPr>
          <w:rFonts w:hint="default" w:ascii="Times New Roman" w:hAnsi="Times New Roman" w:eastAsia="宋体" w:cs="Times New Roman"/>
          <w:b/>
          <w:bCs/>
          <w:color w:val="auto"/>
          <w:kern w:val="28"/>
          <w:sz w:val="24"/>
          <w:szCs w:val="24"/>
          <w:lang w:val="zh-CN" w:eastAsia="zh-CN" w:bidi="ar-SA"/>
        </w:rPr>
        <w:t>7.1.4</w:t>
      </w:r>
      <w:r>
        <w:rPr>
          <w:rFonts w:hint="eastAsia" w:cs="Times New Roman"/>
          <w:b/>
          <w:bCs/>
          <w:color w:val="auto"/>
          <w:kern w:val="28"/>
          <w:sz w:val="24"/>
          <w:szCs w:val="24"/>
          <w:lang w:val="en-US" w:eastAsia="zh-CN" w:bidi="ar-SA"/>
        </w:rPr>
        <w:t xml:space="preserve">  </w:t>
      </w:r>
      <w:r>
        <w:rPr>
          <w:rFonts w:hint="eastAsia" w:ascii="宋体" w:hAnsi="宋体" w:eastAsia="宋体" w:cs="宋体"/>
          <w:sz w:val="24"/>
          <w:szCs w:val="24"/>
        </w:rPr>
        <w:t>本条对应GB 50378中的7.1.2、7.2.6条，检验水系统单位温差输送系数。</w:t>
      </w:r>
    </w:p>
    <w:p>
      <w:pPr>
        <w:spacing w:line="360" w:lineRule="auto"/>
        <w:ind w:firstLine="480" w:firstLineChars="200"/>
        <w:jc w:val="both"/>
        <w:rPr>
          <w:rFonts w:hint="eastAsia" w:ascii="宋体" w:hAnsi="宋体" w:eastAsia="宋体" w:cs="宋体"/>
          <w:sz w:val="24"/>
          <w:szCs w:val="24"/>
        </w:rPr>
        <w:sectPr>
          <w:pgSz w:w="11906" w:h="16838"/>
          <w:pgMar w:top="1610" w:right="1349" w:bottom="1213" w:left="1293" w:header="851" w:footer="992" w:gutter="0"/>
          <w:pgBorders>
            <w:top w:val="none" w:sz="0" w:space="0"/>
            <w:left w:val="none" w:sz="0" w:space="0"/>
            <w:bottom w:val="none" w:sz="0" w:space="0"/>
            <w:right w:val="none" w:sz="0" w:space="0"/>
          </w:pgBorders>
          <w:pgNumType w:fmt="decimal"/>
          <w:cols w:space="0" w:num="1"/>
          <w:rtlGutter w:val="0"/>
          <w:docGrid w:type="linesAndChars" w:linePitch="312" w:charSpace="0"/>
        </w:sectPr>
      </w:pPr>
    </w:p>
    <w:p>
      <w:pPr>
        <w:keepNext/>
        <w:keepLines/>
        <w:widowControl w:val="0"/>
        <w:numPr>
          <w:ilvl w:val="0"/>
          <w:numId w:val="0"/>
        </w:numPr>
        <w:spacing w:before="340" w:after="330" w:line="578" w:lineRule="auto"/>
        <w:ind w:left="425" w:leftChars="0" w:hanging="425" w:firstLineChars="0"/>
        <w:jc w:val="center"/>
        <w:outlineLvl w:val="0"/>
        <w:rPr>
          <w:rFonts w:ascii="Times New Roman" w:hAnsi="Times New Roman" w:eastAsia="宋体" w:cs="Times New Roman"/>
          <w:b/>
          <w:bCs/>
          <w:kern w:val="44"/>
          <w:sz w:val="28"/>
          <w:szCs w:val="28"/>
          <w:lang w:val="en-US" w:eastAsia="zh-CN" w:bidi="ar-SA"/>
        </w:rPr>
      </w:pPr>
      <w:r>
        <w:rPr>
          <w:rFonts w:hint="eastAsia" w:ascii="Times New Roman" w:hAnsi="Times New Roman" w:eastAsia="宋体" w:cs="Times New Roman"/>
          <w:b/>
          <w:bCs/>
          <w:kern w:val="44"/>
          <w:sz w:val="28"/>
          <w:szCs w:val="28"/>
          <w:lang w:val="en-US" w:eastAsia="zh-CN" w:bidi="ar-SA"/>
        </w:rPr>
        <w:t>8</w:t>
      </w:r>
      <w:r>
        <w:rPr>
          <w:rFonts w:hint="eastAsia" w:cs="Times New Roman"/>
          <w:b/>
          <w:bCs/>
          <w:kern w:val="44"/>
          <w:sz w:val="28"/>
          <w:szCs w:val="28"/>
          <w:lang w:val="en-US" w:eastAsia="zh-CN" w:bidi="ar-SA"/>
        </w:rPr>
        <w:t xml:space="preserve">  </w:t>
      </w:r>
      <w:r>
        <w:rPr>
          <w:rFonts w:ascii="Times New Roman" w:hAnsi="Times New Roman" w:eastAsia="宋体" w:cs="Times New Roman"/>
          <w:b/>
          <w:bCs/>
          <w:kern w:val="44"/>
          <w:sz w:val="28"/>
          <w:szCs w:val="28"/>
          <w:lang w:val="en-US" w:eastAsia="zh-CN" w:bidi="ar-SA"/>
        </w:rPr>
        <w:t>环境宜居</w:t>
      </w:r>
    </w:p>
    <w:p>
      <w:pPr>
        <w:widowControl w:val="0"/>
        <w:numPr>
          <w:ilvl w:val="1"/>
          <w:numId w:val="0"/>
        </w:numPr>
        <w:spacing w:before="312" w:beforeLines="100" w:after="0" w:line="360" w:lineRule="auto"/>
        <w:ind w:left="567" w:leftChars="0" w:hanging="567" w:firstLineChars="0"/>
        <w:jc w:val="center"/>
        <w:outlineLvl w:val="1"/>
        <w:rPr>
          <w:rFonts w:ascii="Times New Roman" w:hAnsi="Times New Roman" w:eastAsia="黑体" w:cs="Times New Roman"/>
          <w:b/>
          <w:bCs/>
          <w:kern w:val="28"/>
          <w:sz w:val="24"/>
          <w:szCs w:val="32"/>
          <w:lang w:val="zh-CN" w:eastAsia="zh-CN" w:bidi="ar-SA"/>
        </w:rPr>
      </w:pPr>
      <w:r>
        <w:rPr>
          <w:rFonts w:hint="default" w:ascii="Times New Roman" w:hAnsi="Times New Roman" w:eastAsia="黑体" w:cs="Times New Roman"/>
          <w:b/>
          <w:bCs/>
          <w:kern w:val="28"/>
          <w:sz w:val="24"/>
          <w:szCs w:val="32"/>
          <w:lang w:val="zh-CN" w:eastAsia="zh-CN" w:bidi="ar-SA"/>
        </w:rPr>
        <w:t>8.1</w:t>
      </w:r>
      <w:r>
        <w:rPr>
          <w:rFonts w:hint="eastAsia" w:eastAsia="黑体" w:cs="Times New Roman"/>
          <w:b/>
          <w:bCs/>
          <w:kern w:val="28"/>
          <w:sz w:val="24"/>
          <w:szCs w:val="32"/>
          <w:lang w:val="en-US" w:eastAsia="zh-CN" w:bidi="ar-SA"/>
        </w:rPr>
        <w:t xml:space="preserve"> </w:t>
      </w:r>
      <w:r>
        <w:rPr>
          <w:rFonts w:ascii="Times New Roman" w:hAnsi="Times New Roman" w:eastAsia="黑体" w:cs="Times New Roman"/>
          <w:b/>
          <w:bCs/>
          <w:kern w:val="28"/>
          <w:sz w:val="24"/>
          <w:szCs w:val="32"/>
          <w:lang w:val="zh-CN" w:eastAsia="zh-CN" w:bidi="ar-SA"/>
        </w:rPr>
        <w:t>场地生态与景观</w:t>
      </w:r>
    </w:p>
    <w:p>
      <w:pPr>
        <w:spacing w:line="360" w:lineRule="auto"/>
        <w:jc w:val="both"/>
        <w:rPr>
          <w:rFonts w:hint="eastAsia" w:ascii="宋体" w:hAnsi="宋体" w:eastAsia="宋体" w:cs="宋体"/>
          <w:sz w:val="24"/>
          <w:szCs w:val="24"/>
        </w:rPr>
      </w:pPr>
      <w:r>
        <w:rPr>
          <w:rFonts w:hint="default" w:ascii="Times New Roman" w:hAnsi="Times New Roman" w:eastAsia="宋体" w:cs="Times New Roman"/>
          <w:b/>
          <w:bCs/>
          <w:color w:val="auto"/>
          <w:kern w:val="28"/>
          <w:sz w:val="24"/>
          <w:szCs w:val="24"/>
          <w:lang w:val="zh-CN" w:eastAsia="zh-CN" w:bidi="ar-SA"/>
        </w:rPr>
        <w:t>8.1.1</w:t>
      </w:r>
      <w:r>
        <w:rPr>
          <w:rFonts w:hint="eastAsia" w:cs="Times New Roman"/>
          <w:b/>
          <w:bCs/>
          <w:color w:val="auto"/>
          <w:kern w:val="28"/>
          <w:sz w:val="24"/>
          <w:szCs w:val="24"/>
          <w:lang w:val="en-US" w:eastAsia="zh-CN" w:bidi="ar-SA"/>
        </w:rPr>
        <w:t xml:space="preserve">  </w:t>
      </w:r>
      <w:r>
        <w:rPr>
          <w:rFonts w:hint="eastAsia" w:ascii="宋体" w:hAnsi="宋体" w:eastAsia="宋体" w:cs="宋体"/>
          <w:sz w:val="24"/>
          <w:szCs w:val="24"/>
        </w:rPr>
        <w:t>本条对应GB 50378中的8.2.1条，本条重点现场查阅相关记录文件。</w:t>
      </w:r>
    </w:p>
    <w:p>
      <w:pPr>
        <w:spacing w:line="360" w:lineRule="auto"/>
        <w:jc w:val="both"/>
        <w:rPr>
          <w:rFonts w:hint="eastAsia" w:ascii="宋体" w:hAnsi="宋体" w:eastAsia="宋体" w:cs="宋体"/>
          <w:sz w:val="24"/>
          <w:szCs w:val="24"/>
        </w:rPr>
      </w:pPr>
      <w:r>
        <w:rPr>
          <w:rFonts w:hint="default" w:ascii="Times New Roman" w:hAnsi="Times New Roman" w:eastAsia="宋体" w:cs="Times New Roman"/>
          <w:b/>
          <w:bCs/>
          <w:color w:val="auto"/>
          <w:kern w:val="28"/>
          <w:sz w:val="24"/>
          <w:szCs w:val="24"/>
          <w:lang w:val="zh-CN" w:eastAsia="zh-CN" w:bidi="ar-SA"/>
        </w:rPr>
        <w:t>8.1.2</w:t>
      </w:r>
      <w:r>
        <w:rPr>
          <w:rFonts w:hint="eastAsia" w:cs="Times New Roman"/>
          <w:b/>
          <w:bCs/>
          <w:color w:val="auto"/>
          <w:kern w:val="28"/>
          <w:sz w:val="24"/>
          <w:szCs w:val="24"/>
          <w:lang w:val="en-US" w:eastAsia="zh-CN" w:bidi="ar-SA"/>
        </w:rPr>
        <w:t xml:space="preserve">  </w:t>
      </w:r>
      <w:r>
        <w:rPr>
          <w:rFonts w:hint="eastAsia" w:ascii="宋体" w:hAnsi="宋体" w:eastAsia="宋体" w:cs="宋体"/>
          <w:sz w:val="24"/>
          <w:szCs w:val="24"/>
        </w:rPr>
        <w:t>本条对应GB 50378中的8.2.2条，本条重点现场调研当地降雨统计资料和项目相关记录文件。</w:t>
      </w:r>
    </w:p>
    <w:p>
      <w:pPr>
        <w:spacing w:line="360" w:lineRule="auto"/>
        <w:jc w:val="both"/>
        <w:rPr>
          <w:rFonts w:hint="eastAsia" w:ascii="宋体" w:hAnsi="宋体" w:eastAsia="宋体" w:cs="宋体"/>
          <w:sz w:val="24"/>
          <w:szCs w:val="24"/>
        </w:rPr>
      </w:pPr>
      <w:r>
        <w:rPr>
          <w:rFonts w:hint="eastAsia" w:ascii="宋体" w:hAnsi="宋体" w:eastAsia="宋体" w:cs="宋体"/>
          <w:sz w:val="24"/>
          <w:szCs w:val="24"/>
        </w:rPr>
        <w:t>场地内海绵城市设施需满足深圳市《建设项目海绵设施施工验收标准》（SJG109-2022）的相关要求。</w:t>
      </w:r>
    </w:p>
    <w:p>
      <w:pPr>
        <w:spacing w:line="360" w:lineRule="auto"/>
        <w:jc w:val="both"/>
        <w:rPr>
          <w:rFonts w:hint="eastAsia" w:ascii="宋体" w:hAnsi="宋体" w:eastAsia="宋体" w:cs="宋体"/>
          <w:sz w:val="24"/>
          <w:szCs w:val="24"/>
        </w:rPr>
      </w:pPr>
      <w:r>
        <w:rPr>
          <w:rFonts w:hint="default" w:ascii="Times New Roman" w:hAnsi="Times New Roman" w:eastAsia="宋体" w:cs="Times New Roman"/>
          <w:b/>
          <w:bCs/>
          <w:color w:val="auto"/>
          <w:kern w:val="28"/>
          <w:sz w:val="24"/>
          <w:szCs w:val="24"/>
          <w:lang w:val="zh-CN" w:eastAsia="zh-CN" w:bidi="ar-SA"/>
        </w:rPr>
        <w:t>8.1.3</w:t>
      </w:r>
      <w:r>
        <w:rPr>
          <w:rFonts w:hint="eastAsia" w:cs="Times New Roman"/>
          <w:b/>
          <w:bCs/>
          <w:color w:val="auto"/>
          <w:kern w:val="28"/>
          <w:sz w:val="24"/>
          <w:szCs w:val="24"/>
          <w:lang w:val="en-US" w:eastAsia="zh-CN" w:bidi="ar-SA"/>
        </w:rPr>
        <w:t xml:space="preserve">  </w:t>
      </w:r>
      <w:r>
        <w:rPr>
          <w:rFonts w:hint="eastAsia" w:ascii="宋体" w:hAnsi="宋体" w:eastAsia="宋体" w:cs="宋体"/>
          <w:sz w:val="24"/>
          <w:szCs w:val="24"/>
        </w:rPr>
        <w:t>本条对应GB 50378中的8.2.3条，本条重点现场核查乔灌草栽种情况和实施区域的符合性。</w:t>
      </w:r>
    </w:p>
    <w:p>
      <w:pPr>
        <w:spacing w:line="360" w:lineRule="auto"/>
        <w:jc w:val="both"/>
        <w:rPr>
          <w:rFonts w:hint="eastAsia" w:ascii="宋体" w:hAnsi="宋体" w:eastAsia="宋体" w:cs="宋体"/>
          <w:sz w:val="24"/>
          <w:szCs w:val="24"/>
        </w:rPr>
      </w:pPr>
      <w:r>
        <w:rPr>
          <w:rFonts w:hint="eastAsia" w:ascii="宋体" w:hAnsi="宋体" w:eastAsia="宋体" w:cs="宋体"/>
          <w:sz w:val="24"/>
          <w:szCs w:val="24"/>
        </w:rPr>
        <w:t>绿化覆盖率=（绿地面积+折算绿地面积）/建设用地面积x100%，绿地面积、折算绿地面积的计算具体参照《深圳市建筑设计规则》（2024修订版）的相关执行。</w:t>
      </w:r>
    </w:p>
    <w:p>
      <w:pPr>
        <w:spacing w:line="360" w:lineRule="auto"/>
        <w:jc w:val="both"/>
        <w:rPr>
          <w:rFonts w:hint="eastAsia" w:ascii="宋体" w:hAnsi="宋体" w:eastAsia="宋体" w:cs="宋体"/>
          <w:sz w:val="24"/>
          <w:szCs w:val="24"/>
        </w:rPr>
      </w:pPr>
      <w:r>
        <w:rPr>
          <w:rFonts w:hint="default" w:ascii="Times New Roman" w:hAnsi="Times New Roman" w:eastAsia="宋体" w:cs="Times New Roman"/>
          <w:b/>
          <w:bCs/>
          <w:color w:val="auto"/>
          <w:kern w:val="28"/>
          <w:sz w:val="24"/>
          <w:szCs w:val="24"/>
          <w:lang w:val="zh-CN" w:eastAsia="zh-CN" w:bidi="ar-SA"/>
        </w:rPr>
        <w:t>8.1.4</w:t>
      </w:r>
      <w:r>
        <w:rPr>
          <w:rFonts w:hint="eastAsia" w:cs="Times New Roman"/>
          <w:b/>
          <w:bCs/>
          <w:color w:val="auto"/>
          <w:kern w:val="28"/>
          <w:sz w:val="24"/>
          <w:szCs w:val="24"/>
          <w:lang w:val="en-US" w:eastAsia="zh-CN" w:bidi="ar-SA"/>
        </w:rPr>
        <w:t xml:space="preserve">  </w:t>
      </w:r>
      <w:r>
        <w:rPr>
          <w:rFonts w:hint="eastAsia" w:ascii="宋体" w:hAnsi="宋体" w:eastAsia="宋体" w:cs="宋体"/>
          <w:sz w:val="24"/>
          <w:szCs w:val="24"/>
        </w:rPr>
        <w:t>本条对应GB 50378中的8.2.4条，本条重点现场核查吸烟及禁烟标识的完整性，以及二次达标承诺函。</w:t>
      </w:r>
    </w:p>
    <w:p>
      <w:pPr>
        <w:spacing w:line="360" w:lineRule="auto"/>
        <w:jc w:val="both"/>
        <w:rPr>
          <w:rFonts w:hint="eastAsia" w:ascii="宋体" w:hAnsi="宋体" w:eastAsia="宋体" w:cs="宋体"/>
          <w:sz w:val="24"/>
          <w:szCs w:val="24"/>
        </w:rPr>
      </w:pPr>
      <w:r>
        <w:rPr>
          <w:rFonts w:hint="default" w:ascii="Times New Roman" w:hAnsi="Times New Roman" w:eastAsia="宋体" w:cs="Times New Roman"/>
          <w:b/>
          <w:bCs/>
          <w:color w:val="auto"/>
          <w:kern w:val="28"/>
          <w:sz w:val="24"/>
          <w:szCs w:val="24"/>
          <w:lang w:val="zh-CN" w:eastAsia="zh-CN" w:bidi="ar-SA"/>
        </w:rPr>
        <w:t>8.1.5</w:t>
      </w:r>
      <w:r>
        <w:rPr>
          <w:rFonts w:hint="eastAsia" w:cs="Times New Roman"/>
          <w:b/>
          <w:bCs/>
          <w:color w:val="auto"/>
          <w:kern w:val="28"/>
          <w:sz w:val="24"/>
          <w:szCs w:val="24"/>
          <w:lang w:val="en-US" w:eastAsia="zh-CN" w:bidi="ar-SA"/>
        </w:rPr>
        <w:t xml:space="preserve">  </w:t>
      </w:r>
      <w:r>
        <w:rPr>
          <w:rFonts w:hint="eastAsia" w:ascii="宋体" w:hAnsi="宋体" w:eastAsia="宋体" w:cs="宋体"/>
          <w:sz w:val="24"/>
          <w:szCs w:val="24"/>
        </w:rPr>
        <w:t>本条对应GB 50378中的8.2.5条，本条重点现场核查场地内海绵设施种类、规模及运行记录。</w:t>
      </w:r>
    </w:p>
    <w:p>
      <w:pPr>
        <w:spacing w:line="360" w:lineRule="auto"/>
        <w:jc w:val="both"/>
        <w:rPr>
          <w:rFonts w:hint="eastAsia" w:ascii="宋体" w:hAnsi="宋体" w:eastAsia="宋体" w:cs="宋体"/>
          <w:sz w:val="24"/>
          <w:szCs w:val="24"/>
        </w:rPr>
      </w:pPr>
      <w:r>
        <w:rPr>
          <w:rFonts w:hint="eastAsia" w:ascii="宋体" w:hAnsi="宋体" w:eastAsia="宋体" w:cs="宋体"/>
          <w:sz w:val="24"/>
          <w:szCs w:val="24"/>
        </w:rPr>
        <w:t>场地内海绵城市设施需满足深圳市《建设项目海绵设施施工验收标准》（SJG109-2022）的相关要求。</w:t>
      </w:r>
    </w:p>
    <w:p>
      <w:pPr>
        <w:widowControl w:val="0"/>
        <w:numPr>
          <w:ilvl w:val="1"/>
          <w:numId w:val="0"/>
        </w:numPr>
        <w:spacing w:before="312" w:beforeLines="100" w:after="0" w:line="360" w:lineRule="auto"/>
        <w:ind w:left="567" w:leftChars="0" w:hanging="567" w:firstLineChars="0"/>
        <w:jc w:val="center"/>
        <w:outlineLvl w:val="1"/>
        <w:rPr>
          <w:rFonts w:ascii="Times New Roman" w:hAnsi="Times New Roman" w:eastAsia="黑体" w:cs="Times New Roman"/>
          <w:b/>
          <w:bCs/>
          <w:kern w:val="28"/>
          <w:sz w:val="24"/>
          <w:szCs w:val="32"/>
          <w:lang w:val="zh-CN" w:eastAsia="zh-CN" w:bidi="ar-SA"/>
        </w:rPr>
      </w:pPr>
      <w:r>
        <w:rPr>
          <w:rFonts w:hint="default" w:ascii="Times New Roman" w:hAnsi="Times New Roman" w:eastAsia="黑体" w:cs="Times New Roman"/>
          <w:b/>
          <w:bCs/>
          <w:kern w:val="28"/>
          <w:sz w:val="24"/>
          <w:szCs w:val="32"/>
          <w:lang w:val="zh-CN" w:eastAsia="zh-CN" w:bidi="ar-SA"/>
        </w:rPr>
        <w:t>8.2</w:t>
      </w:r>
      <w:r>
        <w:rPr>
          <w:rFonts w:hint="eastAsia" w:eastAsia="黑体" w:cs="Times New Roman"/>
          <w:b/>
          <w:bCs/>
          <w:kern w:val="28"/>
          <w:sz w:val="24"/>
          <w:szCs w:val="32"/>
          <w:lang w:val="en-US" w:eastAsia="zh-CN" w:bidi="ar-SA"/>
        </w:rPr>
        <w:t xml:space="preserve"> </w:t>
      </w:r>
      <w:r>
        <w:rPr>
          <w:rFonts w:ascii="Times New Roman" w:hAnsi="Times New Roman" w:eastAsia="黑体" w:cs="Times New Roman"/>
          <w:b/>
          <w:bCs/>
          <w:kern w:val="28"/>
          <w:sz w:val="24"/>
          <w:szCs w:val="32"/>
          <w:lang w:val="zh-CN" w:eastAsia="zh-CN" w:bidi="ar-SA"/>
        </w:rPr>
        <w:t>室外环境</w:t>
      </w:r>
    </w:p>
    <w:p>
      <w:pPr>
        <w:spacing w:line="360" w:lineRule="auto"/>
        <w:jc w:val="both"/>
        <w:rPr>
          <w:rFonts w:hint="eastAsia" w:ascii="宋体" w:hAnsi="宋体" w:eastAsia="宋体" w:cs="宋体"/>
          <w:sz w:val="24"/>
          <w:szCs w:val="24"/>
        </w:rPr>
      </w:pPr>
      <w:r>
        <w:rPr>
          <w:rFonts w:hint="default" w:ascii="Times New Roman" w:hAnsi="Times New Roman" w:eastAsia="宋体" w:cs="Times New Roman"/>
          <w:b/>
          <w:bCs/>
          <w:color w:val="auto"/>
          <w:kern w:val="28"/>
          <w:sz w:val="24"/>
          <w:szCs w:val="24"/>
          <w:lang w:val="zh-CN" w:eastAsia="zh-CN" w:bidi="ar-SA"/>
        </w:rPr>
        <w:t>8.2.1</w:t>
      </w:r>
      <w:r>
        <w:rPr>
          <w:rFonts w:hint="eastAsia" w:cs="Times New Roman"/>
          <w:b/>
          <w:bCs/>
          <w:color w:val="auto"/>
          <w:kern w:val="28"/>
          <w:sz w:val="24"/>
          <w:szCs w:val="24"/>
          <w:lang w:val="en-US" w:eastAsia="zh-CN" w:bidi="ar-SA"/>
        </w:rPr>
        <w:t xml:space="preserve">  </w:t>
      </w:r>
      <w:r>
        <w:rPr>
          <w:rFonts w:hint="eastAsia" w:ascii="宋体" w:hAnsi="宋体" w:eastAsia="宋体" w:cs="宋体"/>
          <w:sz w:val="24"/>
          <w:szCs w:val="24"/>
        </w:rPr>
        <w:t>本条对应GB/T 50378的8.2.6条。噪声模拟工具应采用符合相关要求的环境噪声模拟软件。</w:t>
      </w:r>
    </w:p>
    <w:p>
      <w:pPr>
        <w:spacing w:line="360" w:lineRule="auto"/>
        <w:jc w:val="both"/>
        <w:rPr>
          <w:rFonts w:hint="eastAsia" w:ascii="宋体" w:hAnsi="宋体" w:eastAsia="宋体" w:cs="宋体"/>
          <w:sz w:val="24"/>
          <w:szCs w:val="24"/>
        </w:rPr>
      </w:pPr>
      <w:r>
        <w:rPr>
          <w:rFonts w:hint="default" w:ascii="Times New Roman" w:hAnsi="Times New Roman" w:eastAsia="宋体" w:cs="Times New Roman"/>
          <w:b/>
          <w:bCs/>
          <w:color w:val="auto"/>
          <w:kern w:val="28"/>
          <w:sz w:val="24"/>
          <w:szCs w:val="24"/>
          <w:lang w:val="zh-CN" w:eastAsia="zh-CN" w:bidi="ar-SA"/>
        </w:rPr>
        <w:t>8.2.4</w:t>
      </w:r>
      <w:r>
        <w:rPr>
          <w:rFonts w:hint="eastAsia" w:cs="Times New Roman"/>
          <w:b/>
          <w:bCs/>
          <w:color w:val="auto"/>
          <w:kern w:val="28"/>
          <w:sz w:val="24"/>
          <w:szCs w:val="24"/>
          <w:lang w:val="en-US" w:eastAsia="zh-CN" w:bidi="ar-SA"/>
        </w:rPr>
        <w:t xml:space="preserve">  </w:t>
      </w:r>
      <w:r>
        <w:rPr>
          <w:rFonts w:hint="eastAsia" w:ascii="宋体" w:hAnsi="宋体" w:eastAsia="宋体" w:cs="宋体"/>
          <w:sz w:val="24"/>
          <w:szCs w:val="24"/>
        </w:rPr>
        <w:t>8.2.3、8.2.4条对应GB/T 50378的8.2.7A条。条文中的“居住空间”包括住宅的卧室、起居室、宿舍、旅馆的客房等。“建筑室外”的边界是指参评项目建设场地范围内，建设场地之外不在检测范围内。</w:t>
      </w:r>
    </w:p>
    <w:p>
      <w:pPr>
        <w:spacing w:line="360" w:lineRule="auto"/>
        <w:jc w:val="both"/>
        <w:rPr>
          <w:rFonts w:hint="eastAsia" w:ascii="宋体" w:hAnsi="宋体" w:eastAsia="宋体" w:cs="宋体"/>
          <w:sz w:val="24"/>
          <w:szCs w:val="24"/>
        </w:rPr>
      </w:pPr>
      <w:r>
        <w:rPr>
          <w:rFonts w:hint="eastAsia" w:ascii="宋体" w:hAnsi="宋体" w:eastAsia="宋体" w:cs="宋体"/>
          <w:sz w:val="24"/>
          <w:szCs w:val="24"/>
        </w:rPr>
        <w:t>当检验对象为公共建筑，且其周围建筑有住宅、宿舍或旅馆时，需要评估参评建筑的室外照明及室外显示屏对周围居住空间的影响。</w:t>
      </w:r>
    </w:p>
    <w:p>
      <w:pPr>
        <w:spacing w:line="360" w:lineRule="auto"/>
        <w:jc w:val="both"/>
        <w:rPr>
          <w:rFonts w:ascii="Times New Roman" w:hAnsi="Times New Roman" w:eastAsia="宋体" w:cs="Times New Roman"/>
          <w:b w:val="0"/>
          <w:bCs/>
          <w:kern w:val="28"/>
          <w:sz w:val="24"/>
          <w:szCs w:val="24"/>
          <w:lang w:val="en-US" w:eastAsia="zh-CN" w:bidi="ar"/>
        </w:rPr>
      </w:pPr>
      <w:r>
        <w:rPr>
          <w:rFonts w:hint="eastAsia" w:ascii="宋体" w:hAnsi="宋体" w:eastAsia="宋体" w:cs="宋体"/>
          <w:sz w:val="24"/>
          <w:szCs w:val="24"/>
        </w:rPr>
        <w:t>当检验对象为住宅建筑时，需要评估其室外照明及室外显示屏对自身和周边居住空间的影响。</w:t>
      </w:r>
    </w:p>
    <w:p>
      <w:pPr>
        <w:spacing w:line="360" w:lineRule="auto"/>
        <w:jc w:val="both"/>
        <w:rPr>
          <w:rFonts w:hint="eastAsia" w:ascii="宋体" w:hAnsi="宋体" w:eastAsia="宋体" w:cs="宋体"/>
          <w:sz w:val="24"/>
          <w:szCs w:val="24"/>
        </w:rPr>
      </w:pPr>
      <w:r>
        <w:rPr>
          <w:rFonts w:hint="default" w:ascii="Times New Roman" w:hAnsi="Times New Roman" w:eastAsia="宋体" w:cs="Times New Roman"/>
          <w:b/>
          <w:bCs/>
          <w:color w:val="auto"/>
          <w:kern w:val="28"/>
          <w:sz w:val="24"/>
          <w:szCs w:val="24"/>
          <w:lang w:val="zh-CN" w:eastAsia="zh-CN" w:bidi="ar-SA"/>
        </w:rPr>
        <w:t>8.2.5</w:t>
      </w:r>
      <w:r>
        <w:rPr>
          <w:rFonts w:hint="eastAsia" w:cs="Times New Roman"/>
          <w:b w:val="0"/>
          <w:bCs/>
          <w:kern w:val="28"/>
          <w:sz w:val="24"/>
          <w:szCs w:val="24"/>
          <w:lang w:val="en-US" w:eastAsia="zh-CN" w:bidi="ar"/>
        </w:rPr>
        <w:t xml:space="preserve">  </w:t>
      </w:r>
      <w:r>
        <w:rPr>
          <w:rFonts w:hint="eastAsia" w:ascii="宋体" w:hAnsi="宋体" w:eastAsia="宋体" w:cs="宋体"/>
          <w:sz w:val="24"/>
          <w:szCs w:val="24"/>
        </w:rPr>
        <w:t>本条对应GB/T50378的 8.2.9条。对项目为降低热岛强度而采取的措施进行检验，不能用热岛强度模拟报告代替。</w:t>
      </w:r>
    </w:p>
    <w:p>
      <w:pPr>
        <w:widowControl/>
        <w:spacing w:line="360" w:lineRule="auto"/>
        <w:ind w:left="210" w:leftChars="100" w:firstLine="480" w:firstLineChars="200"/>
        <w:jc w:val="left"/>
        <w:rPr>
          <w:rFonts w:ascii="Times New Roman" w:hAnsi="Times New Roman" w:cs="Times New Roman"/>
          <w:color w:val="000000"/>
          <w:kern w:val="0"/>
          <w:sz w:val="24"/>
          <w:szCs w:val="24"/>
        </w:rPr>
      </w:pPr>
    </w:p>
    <w:p>
      <w:pPr>
        <w:spacing w:line="360" w:lineRule="auto"/>
        <w:outlineLvl w:val="9"/>
        <w:rPr>
          <w:bCs/>
        </w:rPr>
        <w:sectPr>
          <w:pgSz w:w="11906" w:h="16838"/>
          <w:pgMar w:top="1440" w:right="1800" w:bottom="1440" w:left="1800" w:header="851" w:footer="992" w:gutter="0"/>
          <w:pgNumType w:fmt="decimal"/>
          <w:cols w:space="720" w:num="1"/>
          <w:docGrid w:type="lines" w:linePitch="312" w:charSpace="0"/>
        </w:sectPr>
      </w:pPr>
    </w:p>
    <w:p>
      <w:pPr>
        <w:keepNext/>
        <w:keepLines/>
        <w:widowControl w:val="0"/>
        <w:numPr>
          <w:ilvl w:val="0"/>
          <w:numId w:val="0"/>
        </w:numPr>
        <w:spacing w:before="340" w:after="330" w:line="578" w:lineRule="auto"/>
        <w:ind w:left="425" w:leftChars="0" w:hanging="425" w:firstLineChars="0"/>
        <w:jc w:val="center"/>
        <w:outlineLvl w:val="0"/>
        <w:rPr>
          <w:rFonts w:ascii="Times New Roman" w:hAnsi="Times New Roman" w:eastAsia="宋体" w:cs="Times New Roman"/>
          <w:b/>
          <w:bCs/>
          <w:kern w:val="44"/>
          <w:sz w:val="28"/>
          <w:szCs w:val="28"/>
          <w:lang w:val="en-US" w:eastAsia="zh-CN" w:bidi="ar-SA"/>
        </w:rPr>
      </w:pPr>
      <w:r>
        <w:rPr>
          <w:rFonts w:hint="eastAsia" w:ascii="Times New Roman" w:hAnsi="Times New Roman" w:eastAsia="宋体" w:cs="Times New Roman"/>
          <w:b/>
          <w:bCs/>
          <w:kern w:val="44"/>
          <w:sz w:val="28"/>
          <w:szCs w:val="28"/>
          <w:lang w:val="en-US" w:eastAsia="zh-CN" w:bidi="ar-SA"/>
        </w:rPr>
        <w:t>9</w:t>
      </w:r>
      <w:r>
        <w:rPr>
          <w:rFonts w:hint="eastAsia" w:cs="Times New Roman"/>
          <w:b/>
          <w:bCs/>
          <w:kern w:val="44"/>
          <w:sz w:val="28"/>
          <w:szCs w:val="28"/>
          <w:lang w:val="en-US" w:eastAsia="zh-CN" w:bidi="ar-SA"/>
        </w:rPr>
        <w:t xml:space="preserve">  </w:t>
      </w:r>
      <w:r>
        <w:rPr>
          <w:rFonts w:ascii="Times New Roman" w:hAnsi="Times New Roman" w:eastAsia="宋体" w:cs="Times New Roman"/>
          <w:b/>
          <w:bCs/>
          <w:kern w:val="44"/>
          <w:sz w:val="28"/>
          <w:szCs w:val="28"/>
          <w:lang w:val="en-US" w:eastAsia="zh-CN" w:bidi="ar-SA"/>
        </w:rPr>
        <w:t>提高与创新</w:t>
      </w:r>
    </w:p>
    <w:p>
      <w:pPr>
        <w:spacing w:line="360" w:lineRule="auto"/>
        <w:ind w:firstLine="480" w:firstLineChars="200"/>
        <w:jc w:val="both"/>
        <w:rPr>
          <w:rFonts w:ascii="Times New Roman" w:hAnsi="Times New Roman" w:cs="Times New Roman"/>
          <w:i/>
          <w:sz w:val="24"/>
          <w:szCs w:val="24"/>
        </w:rPr>
      </w:pPr>
      <w:r>
        <w:rPr>
          <w:rFonts w:hint="eastAsia" w:ascii="Times New Roman" w:hAnsi="Times New Roman" w:eastAsia="宋体" w:cs="Times New Roman"/>
          <w:b/>
          <w:bCs/>
          <w:kern w:val="28"/>
          <w:sz w:val="24"/>
          <w:szCs w:val="24"/>
          <w:lang w:val="zh-CN" w:eastAsia="zh-CN" w:bidi="ar-SA"/>
        </w:rPr>
        <w:t>9.0.4</w:t>
      </w:r>
      <w:r>
        <w:rPr>
          <w:rFonts w:hint="eastAsia" w:cs="Times New Roman"/>
          <w:b/>
          <w:bCs/>
          <w:kern w:val="28"/>
          <w:sz w:val="24"/>
          <w:szCs w:val="24"/>
          <w:lang w:val="en-US" w:eastAsia="zh-CN" w:bidi="ar-SA"/>
        </w:rPr>
        <w:t xml:space="preserve">  </w:t>
      </w:r>
      <w:r>
        <w:rPr>
          <w:rFonts w:hint="eastAsia" w:ascii="宋体" w:hAnsi="宋体" w:eastAsia="宋体" w:cs="宋体"/>
          <w:sz w:val="24"/>
          <w:szCs w:val="24"/>
        </w:rPr>
        <w:t>本条对应GB 50378中的9.2.6条，检验BIM技术在运行阶段的应用。</w:t>
      </w:r>
    </w:p>
    <w:p>
      <w:pPr>
        <w:spacing w:line="360" w:lineRule="auto"/>
        <w:ind w:firstLine="480" w:firstLineChars="200"/>
        <w:jc w:val="both"/>
        <w:rPr>
          <w:rFonts w:hint="eastAsia" w:ascii="宋体" w:hAnsi="宋体" w:eastAsia="宋体" w:cs="宋体"/>
          <w:sz w:val="24"/>
          <w:szCs w:val="24"/>
        </w:rPr>
      </w:pPr>
      <w:r>
        <w:rPr>
          <w:rFonts w:hint="eastAsia" w:ascii="Times New Roman" w:hAnsi="Times New Roman" w:eastAsia="宋体" w:cs="Times New Roman"/>
          <w:b/>
          <w:bCs/>
          <w:kern w:val="28"/>
          <w:sz w:val="24"/>
          <w:szCs w:val="24"/>
          <w:lang w:val="zh-CN" w:eastAsia="zh-CN" w:bidi="ar-SA"/>
        </w:rPr>
        <w:t>9.0.5</w:t>
      </w:r>
      <w:r>
        <w:rPr>
          <w:rFonts w:hint="eastAsia" w:cs="Times New Roman"/>
          <w:b/>
          <w:bCs/>
          <w:kern w:val="28"/>
          <w:sz w:val="24"/>
          <w:szCs w:val="24"/>
          <w:lang w:val="en-US" w:eastAsia="zh-CN" w:bidi="ar-SA"/>
        </w:rPr>
        <w:t xml:space="preserve">  </w:t>
      </w:r>
      <w:r>
        <w:rPr>
          <w:rFonts w:hint="eastAsia" w:ascii="宋体" w:hAnsi="宋体" w:eastAsia="宋体" w:cs="宋体"/>
          <w:sz w:val="24"/>
          <w:szCs w:val="24"/>
        </w:rPr>
        <w:t>本条对应GB 50378中的9.2.7条，检验建筑运行阶段碳排放。</w:t>
      </w:r>
    </w:p>
    <w:p>
      <w:pPr>
        <w:spacing w:line="360" w:lineRule="auto"/>
        <w:ind w:firstLine="480" w:firstLineChars="200"/>
        <w:jc w:val="both"/>
        <w:rPr>
          <w:rFonts w:hint="eastAsia" w:ascii="宋体" w:hAnsi="宋体" w:eastAsia="宋体" w:cs="宋体"/>
          <w:sz w:val="24"/>
          <w:szCs w:val="24"/>
        </w:rPr>
      </w:pPr>
      <w:r>
        <w:rPr>
          <w:rFonts w:hint="eastAsia" w:ascii="Times New Roman" w:hAnsi="Times New Roman" w:eastAsia="宋体" w:cs="Times New Roman"/>
          <w:b/>
          <w:bCs/>
          <w:kern w:val="28"/>
          <w:sz w:val="24"/>
          <w:szCs w:val="24"/>
          <w:lang w:val="zh-CN" w:eastAsia="zh-CN" w:bidi="ar-SA"/>
        </w:rPr>
        <w:t>9.0.6</w:t>
      </w:r>
      <w:r>
        <w:rPr>
          <w:rFonts w:hint="eastAsia" w:cs="Times New Roman"/>
          <w:b w:val="0"/>
          <w:bCs/>
          <w:kern w:val="28"/>
          <w:sz w:val="24"/>
          <w:szCs w:val="32"/>
          <w:lang w:val="en-US" w:eastAsia="zh-CN" w:bidi="ar-SA"/>
        </w:rPr>
        <w:t xml:space="preserve">  </w:t>
      </w:r>
      <w:r>
        <w:rPr>
          <w:rFonts w:hint="eastAsia" w:ascii="宋体" w:hAnsi="宋体" w:eastAsia="宋体" w:cs="宋体"/>
          <w:sz w:val="24"/>
          <w:szCs w:val="24"/>
        </w:rPr>
        <w:t>本条对应GB 50378中的9.2.4A条，检验场地绿容率。</w:t>
      </w:r>
    </w:p>
    <w:p>
      <w:pPr>
        <w:widowControl w:val="0"/>
        <w:spacing w:before="0" w:after="0" w:line="360" w:lineRule="auto"/>
        <w:jc w:val="both"/>
        <w:outlineLvl w:val="9"/>
        <w:rPr>
          <w:rFonts w:hint="eastAsia" w:ascii="宋体" w:hAnsi="宋体" w:eastAsia="宋体" w:cs="宋体"/>
          <w:sz w:val="24"/>
          <w:szCs w:val="24"/>
        </w:rPr>
        <w:sectPr>
          <w:footerReference r:id="rId18" w:type="default"/>
          <w:pgSz w:w="11906" w:h="16838"/>
          <w:pgMar w:top="1610" w:right="1349" w:bottom="1213" w:left="1293" w:header="851" w:footer="992" w:gutter="0"/>
          <w:pgBorders>
            <w:top w:val="none" w:sz="0" w:space="0"/>
            <w:left w:val="none" w:sz="0" w:space="0"/>
            <w:bottom w:val="none" w:sz="0" w:space="0"/>
            <w:right w:val="none" w:sz="0" w:space="0"/>
          </w:pgBorders>
          <w:pgNumType w:fmt="decimal"/>
          <w:cols w:space="0" w:num="1"/>
          <w:rtlGutter w:val="0"/>
          <w:docGrid w:type="linesAndChars" w:linePitch="312" w:charSpace="0"/>
        </w:sectPr>
      </w:pPr>
      <w:r>
        <w:rPr>
          <w:rFonts w:ascii="Times New Roman" w:hAnsi="Times New Roman" w:eastAsia="宋体" w:cs="Times New Roman"/>
          <w:b w:val="0"/>
          <w:bCs/>
          <w:kern w:val="28"/>
          <w:sz w:val="24"/>
          <w:szCs w:val="32"/>
          <w:lang w:val="zh-CN" w:eastAsia="zh-CN" w:bidi="ar-SA"/>
        </w:rPr>
        <w:t xml:space="preserve">  </w:t>
      </w:r>
    </w:p>
    <w:p>
      <w:pPr>
        <w:rPr>
          <w:rFonts w:hint="eastAsia"/>
          <w:lang w:val="en-US" w:eastAsia="zh-CN"/>
        </w:rPr>
      </w:pPr>
    </w:p>
    <w:sectPr>
      <w:pgSz w:w="11906" w:h="16838"/>
      <w:pgMar w:top="1610" w:right="1349" w:bottom="1213" w:left="1293" w:header="851" w:footer="992" w:gutter="0"/>
      <w:pgBorders>
        <w:top w:val="none" w:sz="0" w:space="0"/>
        <w:left w:val="none" w:sz="0" w:space="0"/>
        <w:bottom w:val="none" w:sz="0" w:space="0"/>
        <w:right w:val="none" w:sz="0" w:space="0"/>
      </w:pgBorders>
      <w:pgNumType w:fmt="decimal"/>
      <w:cols w:space="0" w:num="1"/>
      <w:rtlGutter w:val="0"/>
      <w:docGrid w:type="linesAndChar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CC"/>
    <w:family w:val="roman"/>
    <w:pitch w:val="default"/>
    <w:sig w:usb0="00000000" w:usb1="00000000" w:usb2="00000009" w:usb3="00000000" w:csb0="400001FF" w:csb1="FFFF0000"/>
  </w:font>
  <w:font w:name="宋体">
    <w:altName w:val="方正书宋_GBK"/>
    <w:panose1 w:val="02010600030101010101"/>
    <w:charset w:val="80"/>
    <w:family w:val="auto"/>
    <w:pitch w:val="default"/>
    <w:sig w:usb0="00000000" w:usb1="00000000" w:usb2="00000006" w:usb3="00000000" w:csb0="00040001"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Cambria">
    <w:altName w:val="FreeSerif"/>
    <w:panose1 w:val="02040503050406030204"/>
    <w:charset w:val="00"/>
    <w:family w:val="roman"/>
    <w:pitch w:val="default"/>
    <w:sig w:usb0="00000000" w:usb1="00000000" w:usb2="02000000" w:usb3="00000000" w:csb0="2000019F" w:csb1="00000000"/>
  </w:font>
  <w:font w:name="黑体e眠副浡渀.">
    <w:altName w:val="方正黑体_GBK"/>
    <w:panose1 w:val="00000000000000000000"/>
    <w:charset w:val="86"/>
    <w:family w:val="auto"/>
    <w:pitch w:val="default"/>
    <w:sig w:usb0="00000000" w:usb1="00000000" w:usb2="00000010" w:usb3="00000000" w:csb0="00040000" w:csb1="00000000"/>
  </w:font>
  <w:font w:name="等线">
    <w:altName w:val="华文仿宋"/>
    <w:panose1 w:val="02010600030101010101"/>
    <w:charset w:val="86"/>
    <w:family w:val="auto"/>
    <w:pitch w:val="default"/>
    <w:sig w:usb0="00000000" w:usb1="00000000" w:usb2="00000016" w:usb3="00000000" w:csb0="0004000F" w:csb1="00000000"/>
  </w:font>
  <w:font w:name="Cambria Math">
    <w:altName w:val="DejaVu Math TeX Gyre"/>
    <w:panose1 w:val="02040503050406030204"/>
    <w:charset w:val="00"/>
    <w:family w:val="auto"/>
    <w:pitch w:val="default"/>
    <w:sig w:usb0="00000000" w:usb1="00000000" w:usb2="02000000" w:usb3="00000000" w:csb0="2000019F" w:csb1="00000000"/>
  </w:font>
  <w:font w:name="方正黑体_GBK">
    <w:panose1 w:val="02000000000000000000"/>
    <w:charset w:val="86"/>
    <w:family w:val="auto"/>
    <w:pitch w:val="default"/>
    <w:sig w:usb0="00000001" w:usb1="08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华文仿宋">
    <w:panose1 w:val="02010600040101010101"/>
    <w:charset w:val="86"/>
    <w:family w:val="auto"/>
    <w:pitch w:val="default"/>
    <w:sig w:usb0="00000287" w:usb1="080F0000" w:usb2="00000000" w:usb3="00000000" w:csb0="0004009F" w:csb1="DFD70000"/>
  </w:font>
  <w:font w:name="FreeSerif">
    <w:panose1 w:val="02020603050405020304"/>
    <w:charset w:val="00"/>
    <w:family w:val="auto"/>
    <w:pitch w:val="default"/>
    <w:sig w:usb0="E59FAFFF" w:usb1="C200FDFF" w:usb2="43501B29" w:usb3="04000043" w:csb0="600101FF" w:csb1="FFFF0000"/>
  </w:font>
  <w:font w:name="DejaVu Math TeX Gyre">
    <w:panose1 w:val="02000503000000000000"/>
    <w:charset w:val="00"/>
    <w:family w:val="auto"/>
    <w:pitch w:val="default"/>
    <w:sig w:usb0="A10000EF" w:usb1="4201F9EE" w:usb2="02000000" w:usb3="00000000" w:csb0="60000193" w:csb1="0DD40000"/>
  </w:font>
  <w:font w:name="Standard Symbols PS">
    <w:panose1 w:val="05050102010706020507"/>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right"/>
      <w:rPr>
        <w:i/>
        <w:iCs/>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FgAAAGRycy9QSwECFAAUAAAA&#10;CACHTuJAs0lY7tAAAAAFAQAADwAAAAAAAAABACAAAAA4AAAAZHJzL2Rvd25yZXYueG1sUEsBAhQA&#10;FAAAAAgAh07iQE/l5SodAgAAKwQAAA4AAAAAAAAAAQAgAAAANQEAAGRycy9lMm9Eb2MueG1sUEsF&#10;BgAAAAAGAAYAWQEAAMQFAAAAAA==&#10;">
              <v:fill on="f" focussize="0,0"/>
              <v:stroke on="f" weight="0.5pt"/>
              <v:imagedata o:title=""/>
              <o:lock v:ext="edit" aspectratio="f"/>
              <v:textbox inset="0mm,0mm,0mm,0mm" style="mso-fit-shape-to-text:t;">
                <w:txbxContent>
                  <w:p>
                    <w:pPr>
                      <w:pStyle w:val="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41" name="文本框 4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rPr>
                              <w:rFonts w:hint="eastAsia" w:eastAsia="宋体"/>
                              <w:i/>
                              <w:iCs/>
                              <w:sz w:val="21"/>
                              <w:szCs w:val="21"/>
                              <w:lang w:eastAsia="zh-CN"/>
                            </w:rPr>
                          </w:pPr>
                          <w:r>
                            <w:rPr>
                              <w:rFonts w:hint="eastAsia"/>
                              <w:i/>
                              <w:iCs/>
                              <w:sz w:val="21"/>
                              <w:szCs w:val="21"/>
                              <w:lang w:eastAsia="zh-CN"/>
                            </w:rPr>
                            <w:fldChar w:fldCharType="begin"/>
                          </w:r>
                          <w:r>
                            <w:rPr>
                              <w:rFonts w:hint="eastAsia"/>
                              <w:i/>
                              <w:iCs/>
                              <w:sz w:val="21"/>
                              <w:szCs w:val="21"/>
                              <w:lang w:eastAsia="zh-CN"/>
                            </w:rPr>
                            <w:instrText xml:space="preserve"> PAGE  \* MERGEFORMAT </w:instrText>
                          </w:r>
                          <w:r>
                            <w:rPr>
                              <w:rFonts w:hint="eastAsia"/>
                              <w:i/>
                              <w:iCs/>
                              <w:sz w:val="21"/>
                              <w:szCs w:val="21"/>
                              <w:lang w:eastAsia="zh-CN"/>
                            </w:rPr>
                            <w:fldChar w:fldCharType="separate"/>
                          </w:r>
                          <w:r>
                            <w:rPr>
                              <w:rFonts w:hint="eastAsia"/>
                              <w:i/>
                              <w:iCs/>
                              <w:sz w:val="21"/>
                              <w:szCs w:val="21"/>
                              <w:lang w:eastAsia="zh-CN"/>
                            </w:rPr>
                            <w:t>2</w:t>
                          </w:r>
                          <w:r>
                            <w:rPr>
                              <w:rFonts w:hint="eastAsia"/>
                              <w:i/>
                              <w:iCs/>
                              <w:sz w:val="21"/>
                              <w:szCs w:val="21"/>
                              <w:lang w:eastAsia="zh-CN"/>
                            </w:rP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LNJWO7QAAAABQEAAA8AAAAAAAAAAQAgAAAAOAAAAGRycy9kb3ducmV2LnhtbFBLAQIUABQA&#10;AAAIAIdO4kA9JwOWGwIAACsEAAAOAAAAAAAAAAEAIAAAADUBAABkcnMvZTJvRG9jLnhtbFBLBQYA&#10;AAAABgAGAFkBAADCBQAAAAA=&#10;">
              <v:fill on="f" focussize="0,0"/>
              <v:stroke on="f" weight="0.5pt"/>
              <v:imagedata o:title=""/>
              <o:lock v:ext="edit" aspectratio="f"/>
              <v:textbox inset="0mm,0mm,0mm,0mm" style="mso-fit-shape-to-text:t;">
                <w:txbxContent>
                  <w:p>
                    <w:pPr>
                      <w:pStyle w:val="10"/>
                      <w:rPr>
                        <w:rFonts w:hint="eastAsia" w:eastAsia="宋体"/>
                        <w:i/>
                        <w:iCs/>
                        <w:sz w:val="21"/>
                        <w:szCs w:val="21"/>
                        <w:lang w:eastAsia="zh-CN"/>
                      </w:rPr>
                    </w:pPr>
                    <w:r>
                      <w:rPr>
                        <w:rFonts w:hint="eastAsia"/>
                        <w:i/>
                        <w:iCs/>
                        <w:sz w:val="21"/>
                        <w:szCs w:val="21"/>
                        <w:lang w:eastAsia="zh-CN"/>
                      </w:rPr>
                      <w:fldChar w:fldCharType="begin"/>
                    </w:r>
                    <w:r>
                      <w:rPr>
                        <w:rFonts w:hint="eastAsia"/>
                        <w:i/>
                        <w:iCs/>
                        <w:sz w:val="21"/>
                        <w:szCs w:val="21"/>
                        <w:lang w:eastAsia="zh-CN"/>
                      </w:rPr>
                      <w:instrText xml:space="preserve"> PAGE  \* MERGEFORMAT </w:instrText>
                    </w:r>
                    <w:r>
                      <w:rPr>
                        <w:rFonts w:hint="eastAsia"/>
                        <w:i/>
                        <w:iCs/>
                        <w:sz w:val="21"/>
                        <w:szCs w:val="21"/>
                        <w:lang w:eastAsia="zh-CN"/>
                      </w:rPr>
                      <w:fldChar w:fldCharType="separate"/>
                    </w:r>
                    <w:r>
                      <w:rPr>
                        <w:rFonts w:hint="eastAsia"/>
                        <w:i/>
                        <w:iCs/>
                        <w:sz w:val="21"/>
                        <w:szCs w:val="21"/>
                        <w:lang w:eastAsia="zh-CN"/>
                      </w:rPr>
                      <w:t>2</w:t>
                    </w:r>
                    <w:r>
                      <w:rPr>
                        <w:rFonts w:hint="eastAsia"/>
                        <w:i/>
                        <w:iCs/>
                        <w:sz w:val="21"/>
                        <w:szCs w:val="21"/>
                        <w:lang w:eastAsia="zh-CN"/>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42" name="文本框 42"/>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FgAAAGRycy9QSwECFAAUAAAA&#10;CACHTuJAs0lY7tAAAAAFAQAADwAAAAAAAAABACAAAAA4AAAAZHJzL2Rvd25yZXYueG1sUEsBAhQA&#10;FAAAAAgAh07iQOpnWYgdAgAAKwQAAA4AAAAAAAAAAQAgAAAANQEAAGRycy9lMm9Eb2MueG1sUEsF&#10;BgAAAAAGAAYAWQEAAMQFAAAAAA==&#10;">
              <v:fill on="f" focussize="0,0"/>
              <v:stroke on="f" weight="0.5pt"/>
              <v:imagedata o:title=""/>
              <o:lock v:ext="edit" aspectratio="f"/>
              <v:textbox inset="0mm,0mm,0mm,0mm" style="mso-fit-shape-to-text:t;">
                <w:txbxContent>
                  <w:p>
                    <w:pPr>
                      <w:pStyle w:val="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jc w:val="center"/>
      <w:rPr>
        <w:rFonts w:ascii="Times New Roman" w:hAnsi="Times New Roman" w:eastAsia="宋体" w:cs="Times New Roman"/>
        <w:kern w:val="2"/>
        <w:sz w:val="18"/>
        <w:szCs w:val="18"/>
        <w:lang w:val="en-US" w:eastAsia="zh-CN" w:bidi="ar-SA"/>
      </w:rPr>
    </w:pPr>
    <w:r>
      <w:rPr>
        <w:sz w:val="18"/>
      </w:rPr>
      <mc:AlternateContent>
        <mc:Choice Requires="wps">
          <w:drawing>
            <wp:anchor distT="0" distB="0" distL="114300" distR="114300" simplePos="0" relativeHeight="25167360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widowControl w:val="0"/>
                            <w:snapToGrid w:val="0"/>
                            <w:jc w:val="cente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PAGE   \* MERGEFORMAT</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zh-CN" w:eastAsia="zh-CN" w:bidi="ar-SA"/>
                            </w:rPr>
                            <w:t>I</w:t>
                          </w:r>
                          <w:r>
                            <w:rPr>
                              <w:rFonts w:ascii="Times New Roman" w:hAnsi="Times New Roman" w:eastAsia="宋体" w:cs="Times New Roman"/>
                              <w:kern w:val="2"/>
                              <w:sz w:val="18"/>
                              <w:szCs w:val="18"/>
                              <w:lang w:val="en-US" w:eastAsia="zh-CN" w:bidi="ar-SA"/>
                            </w:rP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7360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FgAAAGRycy9QSwECFAAUAAAACACH&#10;TuJAs0lY7tAAAAAFAQAADwAAAAAAAAABACAAAAA4AAAAZHJzL2Rvd25yZXYueG1sUEsBAhQAFAAA&#10;AAgAh07iQCYa0m4aAgAAKQQAAA4AAAAAAAAAAQAgAAAANQEAAGRycy9lMm9Eb2MueG1sUEsFBgAA&#10;AAAGAAYAWQEAAMEFAAAAAA==&#10;">
              <v:fill on="f" focussize="0,0"/>
              <v:stroke on="f" weight="0.5pt"/>
              <v:imagedata o:title=""/>
              <o:lock v:ext="edit" aspectratio="f"/>
              <v:textbox inset="0mm,0mm,0mm,0mm" style="mso-fit-shape-to-text:t;">
                <w:txbxContent>
                  <w:p>
                    <w:pPr>
                      <w:widowControl w:val="0"/>
                      <w:snapToGrid w:val="0"/>
                      <w:jc w:val="cente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PAGE   \* MERGEFORMAT</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zh-CN" w:eastAsia="zh-CN" w:bidi="ar-SA"/>
                      </w:rPr>
                      <w:t>I</w:t>
                    </w:r>
                    <w:r>
                      <w:rPr>
                        <w:rFonts w:ascii="Times New Roman" w:hAnsi="Times New Roman" w:eastAsia="宋体" w:cs="Times New Roman"/>
                        <w:kern w:val="2"/>
                        <w:sz w:val="18"/>
                        <w:szCs w:val="18"/>
                        <w:lang w:val="en-US" w:eastAsia="zh-CN" w:bidi="ar-SA"/>
                      </w:rPr>
                      <w:fldChar w:fldCharType="end"/>
                    </w:r>
                  </w:p>
                </w:txbxContent>
              </v:textbox>
            </v:shape>
          </w:pict>
        </mc:Fallback>
      </mc:AlternateContent>
    </w:r>
  </w:p>
  <w:p>
    <w:pPr>
      <w:widowControl w:val="0"/>
      <w:snapToGrid w:val="0"/>
      <w:jc w:val="left"/>
      <w:rPr>
        <w:rFonts w:ascii="Times New Roman" w:hAnsi="Times New Roman" w:eastAsia="宋体" w:cs="Times New Roman"/>
        <w:kern w:val="2"/>
        <w:sz w:val="18"/>
        <w:szCs w:val="18"/>
        <w:lang w:val="en-US" w:eastAsia="zh-CN" w:bidi="ar-S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jc w:val="center"/>
      <w:rPr>
        <w:rFonts w:ascii="Times New Roman" w:hAnsi="Times New Roman" w:eastAsia="宋体" w:cs="Times New Roman"/>
        <w:kern w:val="2"/>
        <w:sz w:val="18"/>
        <w:szCs w:val="18"/>
        <w:lang w:val="en-US" w:eastAsia="zh-CN" w:bidi="ar-SA"/>
      </w:rPr>
    </w:pPr>
    <w:r>
      <w:rPr>
        <w:sz w:val="18"/>
      </w:rPr>
      <mc:AlternateContent>
        <mc:Choice Requires="wps">
          <w:drawing>
            <wp:anchor distT="0" distB="0" distL="114300" distR="114300" simplePos="0" relativeHeight="25167462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widowControl w:val="0"/>
                            <w:snapToGrid w:val="0"/>
                            <w:jc w:val="center"/>
                          </w:pPr>
                          <w:r>
                            <w:rPr>
                              <w:rFonts w:ascii="Times New Roman" w:hAnsi="Times New Roman" w:eastAsia="宋体" w:cs="Times New Roman"/>
                              <w:kern w:val="2"/>
                              <w:sz w:val="18"/>
                              <w:szCs w:val="18"/>
                              <w:lang w:val="en-US" w:eastAsia="zh-CN" w:bidi="ar-SA"/>
                            </w:rPr>
                            <w:fldChar w:fldCharType="begin"/>
                          </w:r>
                          <w:r>
                            <w:rPr>
                              <w:rStyle w:val="18"/>
                              <w:rFonts w:ascii="Times New Roman" w:hAnsi="Times New Roman" w:eastAsia="宋体" w:cs="Times New Roman"/>
                              <w:kern w:val="2"/>
                              <w:sz w:val="21"/>
                              <w:szCs w:val="24"/>
                              <w:lang w:val="en-US" w:eastAsia="zh-CN" w:bidi="ar-SA"/>
                            </w:rPr>
                            <w:instrText xml:space="preserve"> PAGE </w:instrText>
                          </w:r>
                          <w:r>
                            <w:rPr>
                              <w:rFonts w:ascii="Times New Roman" w:hAnsi="Times New Roman" w:eastAsia="宋体" w:cs="Times New Roman"/>
                              <w:kern w:val="2"/>
                              <w:sz w:val="18"/>
                              <w:szCs w:val="18"/>
                              <w:lang w:val="en-US" w:eastAsia="zh-CN" w:bidi="ar-SA"/>
                            </w:rPr>
                            <w:fldChar w:fldCharType="separate"/>
                          </w:r>
                          <w:r>
                            <w:rPr>
                              <w:rStyle w:val="18"/>
                              <w:rFonts w:ascii="Times New Roman" w:hAnsi="Times New Roman" w:eastAsia="宋体" w:cs="Times New Roman"/>
                              <w:kern w:val="2"/>
                              <w:sz w:val="21"/>
                              <w:szCs w:val="24"/>
                              <w:lang w:val="en-US" w:eastAsia="zh-CN" w:bidi="ar-SA"/>
                            </w:rPr>
                            <w:t>4</w:t>
                          </w:r>
                          <w:r>
                            <w:rPr>
                              <w:rFonts w:ascii="Times New Roman" w:hAnsi="Times New Roman" w:eastAsia="宋体" w:cs="Times New Roman"/>
                              <w:kern w:val="2"/>
                              <w:sz w:val="18"/>
                              <w:szCs w:val="18"/>
                              <w:lang w:val="en-US" w:eastAsia="zh-CN" w:bidi="ar-SA"/>
                            </w:rP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7462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LNJWO7QAAAABQEAAA8AAAAAAAAAAQAgAAAAOAAAAGRycy9kb3ducmV2LnhtbFBLAQIUABQA&#10;AAAIAIdO4kA8FiLyGwIAACkEAAAOAAAAAAAAAAEAIAAAADUBAABkcnMvZTJvRG9jLnhtbFBLBQYA&#10;AAAABgAGAFkBAADCBQAAAAA=&#10;">
              <v:fill on="f" focussize="0,0"/>
              <v:stroke on="f" weight="0.5pt"/>
              <v:imagedata o:title=""/>
              <o:lock v:ext="edit" aspectratio="f"/>
              <v:textbox inset="0mm,0mm,0mm,0mm" style="mso-fit-shape-to-text:t;">
                <w:txbxContent>
                  <w:p>
                    <w:pPr>
                      <w:widowControl w:val="0"/>
                      <w:snapToGrid w:val="0"/>
                      <w:jc w:val="center"/>
                    </w:pPr>
                    <w:r>
                      <w:rPr>
                        <w:rFonts w:ascii="Times New Roman" w:hAnsi="Times New Roman" w:eastAsia="宋体" w:cs="Times New Roman"/>
                        <w:kern w:val="2"/>
                        <w:sz w:val="18"/>
                        <w:szCs w:val="18"/>
                        <w:lang w:val="en-US" w:eastAsia="zh-CN" w:bidi="ar-SA"/>
                      </w:rPr>
                      <w:fldChar w:fldCharType="begin"/>
                    </w:r>
                    <w:r>
                      <w:rPr>
                        <w:rStyle w:val="18"/>
                        <w:rFonts w:ascii="Times New Roman" w:hAnsi="Times New Roman" w:eastAsia="宋体" w:cs="Times New Roman"/>
                        <w:kern w:val="2"/>
                        <w:sz w:val="21"/>
                        <w:szCs w:val="24"/>
                        <w:lang w:val="en-US" w:eastAsia="zh-CN" w:bidi="ar-SA"/>
                      </w:rPr>
                      <w:instrText xml:space="preserve"> PAGE </w:instrText>
                    </w:r>
                    <w:r>
                      <w:rPr>
                        <w:rFonts w:ascii="Times New Roman" w:hAnsi="Times New Roman" w:eastAsia="宋体" w:cs="Times New Roman"/>
                        <w:kern w:val="2"/>
                        <w:sz w:val="18"/>
                        <w:szCs w:val="18"/>
                        <w:lang w:val="en-US" w:eastAsia="zh-CN" w:bidi="ar-SA"/>
                      </w:rPr>
                      <w:fldChar w:fldCharType="separate"/>
                    </w:r>
                    <w:r>
                      <w:rPr>
                        <w:rStyle w:val="18"/>
                        <w:rFonts w:ascii="Times New Roman" w:hAnsi="Times New Roman" w:eastAsia="宋体" w:cs="Times New Roman"/>
                        <w:kern w:val="2"/>
                        <w:sz w:val="21"/>
                        <w:szCs w:val="24"/>
                        <w:lang w:val="en-US" w:eastAsia="zh-CN" w:bidi="ar-SA"/>
                      </w:rPr>
                      <w:t>4</w:t>
                    </w:r>
                    <w:r>
                      <w:rPr>
                        <w:rFonts w:ascii="Times New Roman" w:hAnsi="Times New Roman" w:eastAsia="宋体" w:cs="Times New Roman"/>
                        <w:kern w:val="2"/>
                        <w:sz w:val="18"/>
                        <w:szCs w:val="18"/>
                        <w:lang w:val="en-US" w:eastAsia="zh-CN" w:bidi="ar-SA"/>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jc w:val="center"/>
      <w:rPr>
        <w:rFonts w:ascii="Times New Roman" w:hAnsi="Times New Roman" w:eastAsia="宋体" w:cs="Times New Roman"/>
        <w:kern w:val="2"/>
        <w:sz w:val="18"/>
        <w:szCs w:val="18"/>
        <w:lang w:val="en-US" w:eastAsia="zh-CN" w:bidi="ar-SA"/>
      </w:rPr>
    </w:pPr>
    <w:r>
      <w:rPr>
        <w:sz w:val="18"/>
      </w:rPr>
      <mc:AlternateContent>
        <mc:Choice Requires="wps">
          <w:drawing>
            <wp:anchor distT="0" distB="0" distL="114300" distR="114300" simplePos="0" relativeHeight="251675648"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widowControl w:val="0"/>
                            <w:snapToGrid w:val="0"/>
                            <w:jc w:val="cente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zh-CN" w:eastAsia="zh-CN" w:bidi="ar-SA"/>
                            </w:rPr>
                            <w:t>49</w:t>
                          </w:r>
                          <w:r>
                            <w:rPr>
                              <w:rFonts w:ascii="Times New Roman" w:hAnsi="Times New Roman" w:eastAsia="宋体" w:cs="Times New Roman"/>
                              <w:kern w:val="2"/>
                              <w:sz w:val="18"/>
                              <w:szCs w:val="18"/>
                              <w:lang w:val="en-US" w:eastAsia="zh-CN" w:bidi="ar-SA"/>
                            </w:rP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7564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FgAAAGRycy9QSwECFAAUAAAA&#10;CACHTuJAs0lY7tAAAAAFAQAADwAAAAAAAAABACAAAAA4AAAAZHJzL2Rvd25yZXYueG1sUEsBAhQA&#10;FAAAAAgAh07iQPXvojAdAgAAKQQAAA4AAAAAAAAAAQAgAAAANQEAAGRycy9lMm9Eb2MueG1sUEsF&#10;BgAAAAAGAAYAWQEAAMQFAAAAAA==&#10;">
              <v:fill on="f" focussize="0,0"/>
              <v:stroke on="f" weight="0.5pt"/>
              <v:imagedata o:title=""/>
              <o:lock v:ext="edit" aspectratio="f"/>
              <v:textbox inset="0mm,0mm,0mm,0mm" style="mso-fit-shape-to-text:t;">
                <w:txbxContent>
                  <w:p>
                    <w:pPr>
                      <w:widowControl w:val="0"/>
                      <w:snapToGrid w:val="0"/>
                      <w:jc w:val="cente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zh-CN" w:eastAsia="zh-CN" w:bidi="ar-SA"/>
                      </w:rPr>
                      <w:t>49</w:t>
                    </w:r>
                    <w:r>
                      <w:rPr>
                        <w:rFonts w:ascii="Times New Roman" w:hAnsi="Times New Roman" w:eastAsia="宋体" w:cs="Times New Roman"/>
                        <w:kern w:val="2"/>
                        <w:sz w:val="18"/>
                        <w:szCs w:val="18"/>
                        <w:lang w:val="en-US" w:eastAsia="zh-CN" w:bidi="ar-SA"/>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jc w:val="center"/>
      <w:rPr>
        <w:rFonts w:ascii="Times New Roman" w:hAnsi="Times New Roman" w:eastAsia="宋体" w:cs="Times New Roman"/>
        <w:kern w:val="2"/>
        <w:sz w:val="18"/>
        <w:szCs w:val="18"/>
        <w:lang w:val="en-US" w:eastAsia="zh-CN" w:bidi="ar-SA"/>
      </w:rPr>
    </w:pPr>
    <w:r>
      <w:rPr>
        <w:sz w:val="18"/>
      </w:rPr>
      <mc:AlternateContent>
        <mc:Choice Requires="wps">
          <w:drawing>
            <wp:anchor distT="0" distB="0" distL="114300" distR="114300" simplePos="0" relativeHeight="251676672"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widowControl w:val="0"/>
                            <w:snapToGrid w:val="0"/>
                            <w:jc w:val="center"/>
                          </w:pPr>
                          <w:r>
                            <w:rPr>
                              <w:rFonts w:ascii="Times New Roman" w:hAnsi="Times New Roman" w:eastAsia="宋体" w:cs="Times New Roman"/>
                              <w:kern w:val="2"/>
                              <w:sz w:val="18"/>
                              <w:szCs w:val="18"/>
                              <w:lang w:val="en-US" w:eastAsia="zh-CN" w:bidi="ar-SA"/>
                            </w:rPr>
                            <w:fldChar w:fldCharType="begin"/>
                          </w:r>
                          <w:r>
                            <w:rPr>
                              <w:rStyle w:val="18"/>
                              <w:rFonts w:ascii="Times New Roman" w:hAnsi="Times New Roman" w:eastAsia="宋体" w:cs="Times New Roman"/>
                              <w:kern w:val="2"/>
                              <w:sz w:val="21"/>
                              <w:szCs w:val="24"/>
                              <w:lang w:val="en-US" w:eastAsia="zh-CN" w:bidi="ar-SA"/>
                            </w:rPr>
                            <w:instrText xml:space="preserve"> PAGE </w:instrText>
                          </w:r>
                          <w:r>
                            <w:rPr>
                              <w:rFonts w:ascii="Times New Roman" w:hAnsi="Times New Roman" w:eastAsia="宋体" w:cs="Times New Roman"/>
                              <w:kern w:val="2"/>
                              <w:sz w:val="18"/>
                              <w:szCs w:val="18"/>
                              <w:lang w:val="en-US" w:eastAsia="zh-CN" w:bidi="ar-SA"/>
                            </w:rPr>
                            <w:fldChar w:fldCharType="separate"/>
                          </w:r>
                          <w:r>
                            <w:rPr>
                              <w:rStyle w:val="18"/>
                              <w:rFonts w:ascii="Times New Roman" w:hAnsi="Times New Roman" w:eastAsia="宋体" w:cs="Times New Roman"/>
                              <w:kern w:val="2"/>
                              <w:sz w:val="21"/>
                              <w:szCs w:val="24"/>
                              <w:lang w:val="en-US" w:eastAsia="zh-CN" w:bidi="ar-SA"/>
                            </w:rPr>
                            <w:t>16</w:t>
                          </w:r>
                          <w:r>
                            <w:rPr>
                              <w:rFonts w:ascii="Times New Roman" w:hAnsi="Times New Roman" w:eastAsia="宋体" w:cs="Times New Roman"/>
                              <w:kern w:val="2"/>
                              <w:sz w:val="18"/>
                              <w:szCs w:val="18"/>
                              <w:lang w:val="en-US" w:eastAsia="zh-CN" w:bidi="ar-SA"/>
                            </w:rP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7667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WAAAAZHJzL1BLAQIUABQAAAAI&#10;AIdO4kCzSVju0AAAAAUBAAAPAAAAAAAAAAEAIAAAADgAAABkcnMvZG93bnJldi54bWxQSwECFAAU&#10;AAAACACHTuJASQizEBwCAAApBAAADgAAAAAAAAABACAAAAA1AQAAZHJzL2Uyb0RvYy54bWxQSwUG&#10;AAAAAAYABgBZAQAAwwUAAAAA&#10;">
              <v:fill on="f" focussize="0,0"/>
              <v:stroke on="f" weight="0.5pt"/>
              <v:imagedata o:title=""/>
              <o:lock v:ext="edit" aspectratio="f"/>
              <v:textbox inset="0mm,0mm,0mm,0mm" style="mso-fit-shape-to-text:t;">
                <w:txbxContent>
                  <w:p>
                    <w:pPr>
                      <w:widowControl w:val="0"/>
                      <w:snapToGrid w:val="0"/>
                      <w:jc w:val="center"/>
                    </w:pPr>
                    <w:r>
                      <w:rPr>
                        <w:rFonts w:ascii="Times New Roman" w:hAnsi="Times New Roman" w:eastAsia="宋体" w:cs="Times New Roman"/>
                        <w:kern w:val="2"/>
                        <w:sz w:val="18"/>
                        <w:szCs w:val="18"/>
                        <w:lang w:val="en-US" w:eastAsia="zh-CN" w:bidi="ar-SA"/>
                      </w:rPr>
                      <w:fldChar w:fldCharType="begin"/>
                    </w:r>
                    <w:r>
                      <w:rPr>
                        <w:rStyle w:val="18"/>
                        <w:rFonts w:ascii="Times New Roman" w:hAnsi="Times New Roman" w:eastAsia="宋体" w:cs="Times New Roman"/>
                        <w:kern w:val="2"/>
                        <w:sz w:val="21"/>
                        <w:szCs w:val="24"/>
                        <w:lang w:val="en-US" w:eastAsia="zh-CN" w:bidi="ar-SA"/>
                      </w:rPr>
                      <w:instrText xml:space="preserve"> PAGE </w:instrText>
                    </w:r>
                    <w:r>
                      <w:rPr>
                        <w:rFonts w:ascii="Times New Roman" w:hAnsi="Times New Roman" w:eastAsia="宋体" w:cs="Times New Roman"/>
                        <w:kern w:val="2"/>
                        <w:sz w:val="18"/>
                        <w:szCs w:val="18"/>
                        <w:lang w:val="en-US" w:eastAsia="zh-CN" w:bidi="ar-SA"/>
                      </w:rPr>
                      <w:fldChar w:fldCharType="separate"/>
                    </w:r>
                    <w:r>
                      <w:rPr>
                        <w:rStyle w:val="18"/>
                        <w:rFonts w:ascii="Times New Roman" w:hAnsi="Times New Roman" w:eastAsia="宋体" w:cs="Times New Roman"/>
                        <w:kern w:val="2"/>
                        <w:sz w:val="21"/>
                        <w:szCs w:val="24"/>
                        <w:lang w:val="en-US" w:eastAsia="zh-CN" w:bidi="ar-SA"/>
                      </w:rPr>
                      <w:t>16</w:t>
                    </w:r>
                    <w:r>
                      <w:rPr>
                        <w:rFonts w:ascii="Times New Roman" w:hAnsi="Times New Roman" w:eastAsia="宋体" w:cs="Times New Roman"/>
                        <w:kern w:val="2"/>
                        <w:sz w:val="18"/>
                        <w:szCs w:val="18"/>
                        <w:lang w:val="en-US" w:eastAsia="zh-CN" w:bidi="ar-SA"/>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right"/>
      <w:rPr>
        <w:i/>
        <w:iCs/>
        <w:sz w:val="21"/>
        <w:szCs w:val="21"/>
      </w:rPr>
    </w:pPr>
    <w:r>
      <w:rPr>
        <w:sz w:val="21"/>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0</wp:posOffset>
              </wp:positionV>
              <wp:extent cx="1828800" cy="1828800"/>
              <wp:effectExtent l="0" t="0" r="0" b="0"/>
              <wp:wrapNone/>
              <wp:docPr id="48" name="文本框 48"/>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rPr>
                              <w:rFonts w:hint="eastAsia" w:eastAsia="宋体"/>
                              <w:i/>
                              <w:iCs/>
                              <w:sz w:val="21"/>
                              <w:szCs w:val="21"/>
                              <w:lang w:eastAsia="zh-CN"/>
                            </w:rPr>
                          </w:pPr>
                          <w:r>
                            <w:rPr>
                              <w:rFonts w:hint="eastAsia"/>
                              <w:i/>
                              <w:iCs/>
                              <w:sz w:val="21"/>
                              <w:szCs w:val="21"/>
                              <w:lang w:eastAsia="zh-CN"/>
                            </w:rPr>
                            <w:fldChar w:fldCharType="begin"/>
                          </w:r>
                          <w:r>
                            <w:rPr>
                              <w:rFonts w:hint="eastAsia"/>
                              <w:i/>
                              <w:iCs/>
                              <w:sz w:val="21"/>
                              <w:szCs w:val="21"/>
                              <w:lang w:eastAsia="zh-CN"/>
                            </w:rPr>
                            <w:instrText xml:space="preserve"> PAGE  \* MERGEFORMAT </w:instrText>
                          </w:r>
                          <w:r>
                            <w:rPr>
                              <w:rFonts w:hint="eastAsia"/>
                              <w:i/>
                              <w:iCs/>
                              <w:sz w:val="21"/>
                              <w:szCs w:val="21"/>
                              <w:lang w:eastAsia="zh-CN"/>
                            </w:rPr>
                            <w:fldChar w:fldCharType="separate"/>
                          </w:r>
                          <w:r>
                            <w:rPr>
                              <w:rFonts w:hint="eastAsia"/>
                              <w:i/>
                              <w:iCs/>
                              <w:sz w:val="21"/>
                              <w:szCs w:val="21"/>
                              <w:lang w:eastAsia="zh-CN"/>
                            </w:rPr>
                            <w:t>75</w:t>
                          </w:r>
                          <w:r>
                            <w:rPr>
                              <w:rFonts w:hint="eastAsia"/>
                              <w:i/>
                              <w:iCs/>
                              <w:sz w:val="21"/>
                              <w:szCs w:val="21"/>
                              <w:lang w:eastAsia="zh-CN"/>
                            </w:rP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540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FgAAAGRycy9QSwECFAAUAAAA&#10;CACHTuJAs0lY7tAAAAAFAQAADwAAAAAAAAABACAAAAA4AAAAZHJzL2Rvd25yZXYueG1sUEsBAhQA&#10;FAAAAAgAh07iQBjlhM0dAgAAKwQAAA4AAAAAAAAAAQAgAAAANQEAAGRycy9lMm9Eb2MueG1sUEsF&#10;BgAAAAAGAAYAWQEAAMQFAAAAAA==&#10;">
              <v:fill on="f" focussize="0,0"/>
              <v:stroke on="f" weight="0.5pt"/>
              <v:imagedata o:title=""/>
              <o:lock v:ext="edit" aspectratio="f"/>
              <v:textbox inset="0mm,0mm,0mm,0mm" style="mso-fit-shape-to-text:t;">
                <w:txbxContent>
                  <w:p>
                    <w:pPr>
                      <w:pStyle w:val="10"/>
                      <w:rPr>
                        <w:rFonts w:hint="eastAsia" w:eastAsia="宋体"/>
                        <w:i/>
                        <w:iCs/>
                        <w:sz w:val="21"/>
                        <w:szCs w:val="21"/>
                        <w:lang w:eastAsia="zh-CN"/>
                      </w:rPr>
                    </w:pPr>
                    <w:r>
                      <w:rPr>
                        <w:rFonts w:hint="eastAsia"/>
                        <w:i/>
                        <w:iCs/>
                        <w:sz w:val="21"/>
                        <w:szCs w:val="21"/>
                        <w:lang w:eastAsia="zh-CN"/>
                      </w:rPr>
                      <w:fldChar w:fldCharType="begin"/>
                    </w:r>
                    <w:r>
                      <w:rPr>
                        <w:rFonts w:hint="eastAsia"/>
                        <w:i/>
                        <w:iCs/>
                        <w:sz w:val="21"/>
                        <w:szCs w:val="21"/>
                        <w:lang w:eastAsia="zh-CN"/>
                      </w:rPr>
                      <w:instrText xml:space="preserve"> PAGE  \* MERGEFORMAT </w:instrText>
                    </w:r>
                    <w:r>
                      <w:rPr>
                        <w:rFonts w:hint="eastAsia"/>
                        <w:i/>
                        <w:iCs/>
                        <w:sz w:val="21"/>
                        <w:szCs w:val="21"/>
                        <w:lang w:eastAsia="zh-CN"/>
                      </w:rPr>
                      <w:fldChar w:fldCharType="separate"/>
                    </w:r>
                    <w:r>
                      <w:rPr>
                        <w:rFonts w:hint="eastAsia"/>
                        <w:i/>
                        <w:iCs/>
                        <w:sz w:val="21"/>
                        <w:szCs w:val="21"/>
                        <w:lang w:eastAsia="zh-CN"/>
                      </w:rPr>
                      <w:t>75</w:t>
                    </w:r>
                    <w:r>
                      <w:rPr>
                        <w:rFonts w:hint="eastAsia"/>
                        <w:i/>
                        <w:iCs/>
                        <w:sz w:val="21"/>
                        <w:szCs w:val="21"/>
                        <w:lang w:eastAsia="zh-CN"/>
                      </w:rP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18"/>
      </w:rPr>
      <mc:AlternateContent>
        <mc:Choice Requires="wps">
          <w:drawing>
            <wp:anchor distT="0" distB="0" distL="114300" distR="114300" simplePos="0" relativeHeight="251672576" behindDoc="0" locked="0" layoutInCell="1" allowOverlap="1">
              <wp:simplePos x="0" y="0"/>
              <wp:positionH relativeFrom="margin">
                <wp:align>outside</wp:align>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rPr>
                              <w:rFonts w:hint="eastAsia" w:eastAsia="宋体"/>
                              <w:i/>
                              <w:iCs/>
                              <w:sz w:val="21"/>
                              <w:szCs w:val="21"/>
                              <w:lang w:eastAsia="zh-CN"/>
                            </w:rPr>
                          </w:pPr>
                          <w:r>
                            <w:rPr>
                              <w:rFonts w:hint="eastAsia"/>
                              <w:i/>
                              <w:iCs/>
                              <w:sz w:val="21"/>
                              <w:szCs w:val="21"/>
                              <w:lang w:eastAsia="zh-CN"/>
                            </w:rPr>
                            <w:fldChar w:fldCharType="begin"/>
                          </w:r>
                          <w:r>
                            <w:rPr>
                              <w:rFonts w:hint="eastAsia"/>
                              <w:i/>
                              <w:iCs/>
                              <w:sz w:val="21"/>
                              <w:szCs w:val="21"/>
                              <w:lang w:eastAsia="zh-CN"/>
                            </w:rPr>
                            <w:instrText xml:space="preserve"> PAGE  \* MERGEFORMAT </w:instrText>
                          </w:r>
                          <w:r>
                            <w:rPr>
                              <w:rFonts w:hint="eastAsia"/>
                              <w:i/>
                              <w:iCs/>
                              <w:sz w:val="21"/>
                              <w:szCs w:val="21"/>
                              <w:lang w:eastAsia="zh-CN"/>
                            </w:rPr>
                            <w:fldChar w:fldCharType="separate"/>
                          </w:r>
                          <w:r>
                            <w:rPr>
                              <w:rFonts w:hint="eastAsia"/>
                              <w:i/>
                              <w:iCs/>
                              <w:sz w:val="21"/>
                              <w:szCs w:val="21"/>
                              <w:lang w:eastAsia="zh-CN"/>
                            </w:rPr>
                            <w:t>2</w:t>
                          </w:r>
                          <w:r>
                            <w:rPr>
                              <w:rFonts w:hint="eastAsia"/>
                              <w:i/>
                              <w:iCs/>
                              <w:sz w:val="21"/>
                              <w:szCs w:val="21"/>
                              <w:lang w:eastAsia="zh-CN"/>
                            </w:rP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72576;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FgAAAGRycy9QSwECFAAUAAAACACH&#10;TuJAs0lY7tAAAAAFAQAADwAAAAAAAAABACAAAAA4AAAAZHJzL2Rvd25yZXYueG1sUEsBAhQAFAAA&#10;AAgAh07iQJ0TUpQaAgAAKwQAAA4AAAAAAAAAAQAgAAAANQEAAGRycy9lMm9Eb2MueG1sUEsFBgAA&#10;AAAGAAYAWQEAAMEFAAAAAA==&#10;">
              <v:fill on="f" focussize="0,0"/>
              <v:stroke on="f" weight="0.5pt"/>
              <v:imagedata o:title=""/>
              <o:lock v:ext="edit" aspectratio="f"/>
              <v:textbox inset="0mm,0mm,0mm,0mm" style="mso-fit-shape-to-text:t;">
                <w:txbxContent>
                  <w:p>
                    <w:pPr>
                      <w:pStyle w:val="10"/>
                      <w:rPr>
                        <w:rFonts w:hint="eastAsia" w:eastAsia="宋体"/>
                        <w:i/>
                        <w:iCs/>
                        <w:sz w:val="21"/>
                        <w:szCs w:val="21"/>
                        <w:lang w:eastAsia="zh-CN"/>
                      </w:rPr>
                    </w:pPr>
                    <w:r>
                      <w:rPr>
                        <w:rFonts w:hint="eastAsia"/>
                        <w:i/>
                        <w:iCs/>
                        <w:sz w:val="21"/>
                        <w:szCs w:val="21"/>
                        <w:lang w:eastAsia="zh-CN"/>
                      </w:rPr>
                      <w:fldChar w:fldCharType="begin"/>
                    </w:r>
                    <w:r>
                      <w:rPr>
                        <w:rFonts w:hint="eastAsia"/>
                        <w:i/>
                        <w:iCs/>
                        <w:sz w:val="21"/>
                        <w:szCs w:val="21"/>
                        <w:lang w:eastAsia="zh-CN"/>
                      </w:rPr>
                      <w:instrText xml:space="preserve"> PAGE  \* MERGEFORMAT </w:instrText>
                    </w:r>
                    <w:r>
                      <w:rPr>
                        <w:rFonts w:hint="eastAsia"/>
                        <w:i/>
                        <w:iCs/>
                        <w:sz w:val="21"/>
                        <w:szCs w:val="21"/>
                        <w:lang w:eastAsia="zh-CN"/>
                      </w:rPr>
                      <w:fldChar w:fldCharType="separate"/>
                    </w:r>
                    <w:r>
                      <w:rPr>
                        <w:rFonts w:hint="eastAsia"/>
                        <w:i/>
                        <w:iCs/>
                        <w:sz w:val="21"/>
                        <w:szCs w:val="21"/>
                        <w:lang w:eastAsia="zh-CN"/>
                      </w:rPr>
                      <w:t>2</w:t>
                    </w:r>
                    <w:r>
                      <w:rPr>
                        <w:rFonts w:hint="eastAsia"/>
                        <w:i/>
                        <w:iCs/>
                        <w:sz w:val="21"/>
                        <w:szCs w:val="21"/>
                        <w:lang w:eastAsia="zh-CN"/>
                      </w:rP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jc w:val="center"/>
      <w:rPr>
        <w:rFonts w:ascii="Times New Roman" w:hAnsi="Times New Roman" w:eastAsia="宋体" w:cs="Times New Roman"/>
        <w:kern w:val="2"/>
        <w:sz w:val="18"/>
        <w:szCs w:val="18"/>
        <w:lang w:val="en-US" w:eastAsia="zh-CN" w:bidi="ar-SA"/>
      </w:rPr>
    </w:pPr>
    <w:r>
      <w:rPr>
        <w:sz w:val="18"/>
      </w:rPr>
      <mc:AlternateContent>
        <mc:Choice Requires="wps">
          <w:drawing>
            <wp:anchor distT="0" distB="0" distL="114300" distR="114300" simplePos="0" relativeHeight="251677696"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widowControl w:val="0"/>
                            <w:snapToGrid w:val="0"/>
                            <w:jc w:val="center"/>
                          </w:pPr>
                          <w:r>
                            <w:rPr>
                              <w:rFonts w:ascii="Times New Roman" w:hAnsi="Times New Roman" w:eastAsia="宋体" w:cs="Times New Roman"/>
                              <w:kern w:val="2"/>
                              <w:sz w:val="18"/>
                              <w:szCs w:val="18"/>
                              <w:lang w:val="en-US" w:eastAsia="zh-CN" w:bidi="ar-SA"/>
                            </w:rPr>
                            <w:fldChar w:fldCharType="begin"/>
                          </w:r>
                          <w:r>
                            <w:rPr>
                              <w:rStyle w:val="18"/>
                              <w:rFonts w:ascii="Times New Roman" w:hAnsi="Times New Roman" w:eastAsia="宋体" w:cs="Times New Roman"/>
                              <w:kern w:val="2"/>
                              <w:sz w:val="21"/>
                              <w:szCs w:val="24"/>
                              <w:lang w:val="en-US" w:eastAsia="zh-CN" w:bidi="ar-SA"/>
                            </w:rPr>
                            <w:instrText xml:space="preserve"> PAGE </w:instrText>
                          </w:r>
                          <w:r>
                            <w:rPr>
                              <w:rFonts w:ascii="Times New Roman" w:hAnsi="Times New Roman" w:eastAsia="宋体" w:cs="Times New Roman"/>
                              <w:kern w:val="2"/>
                              <w:sz w:val="18"/>
                              <w:szCs w:val="18"/>
                              <w:lang w:val="en-US" w:eastAsia="zh-CN" w:bidi="ar-SA"/>
                            </w:rPr>
                            <w:fldChar w:fldCharType="separate"/>
                          </w:r>
                          <w:r>
                            <w:rPr>
                              <w:rStyle w:val="18"/>
                              <w:rFonts w:ascii="Times New Roman" w:hAnsi="Times New Roman" w:eastAsia="宋体" w:cs="Times New Roman"/>
                              <w:kern w:val="2"/>
                              <w:sz w:val="21"/>
                              <w:szCs w:val="24"/>
                              <w:lang w:val="en-US" w:eastAsia="zh-CN" w:bidi="ar-SA"/>
                            </w:rPr>
                            <w:t>4</w:t>
                          </w:r>
                          <w:r>
                            <w:rPr>
                              <w:rFonts w:ascii="Times New Roman" w:hAnsi="Times New Roman" w:eastAsia="宋体" w:cs="Times New Roman"/>
                              <w:kern w:val="2"/>
                              <w:sz w:val="18"/>
                              <w:szCs w:val="18"/>
                              <w:lang w:val="en-US" w:eastAsia="zh-CN" w:bidi="ar-SA"/>
                            </w:rP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77696;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FgAAAGRycy9QSwECFAAUAAAA&#10;CACHTuJAs0lY7tAAAAAFAQAADwAAAAAAAAABACAAAAA4AAAAZHJzL2Rvd25yZXYueG1sUEsBAhQA&#10;FAAAAAgAh07iQIDxM9IdAgAAKQQAAA4AAAAAAAAAAQAgAAAANQEAAGRycy9lMm9Eb2MueG1sUEsF&#10;BgAAAAAGAAYAWQEAAMQFAAAAAA==&#10;">
              <v:fill on="f" focussize="0,0"/>
              <v:stroke on="f" weight="0.5pt"/>
              <v:imagedata o:title=""/>
              <o:lock v:ext="edit" aspectratio="f"/>
              <v:textbox inset="0mm,0mm,0mm,0mm" style="mso-fit-shape-to-text:t;">
                <w:txbxContent>
                  <w:p>
                    <w:pPr>
                      <w:widowControl w:val="0"/>
                      <w:snapToGrid w:val="0"/>
                      <w:jc w:val="center"/>
                    </w:pPr>
                    <w:r>
                      <w:rPr>
                        <w:rFonts w:ascii="Times New Roman" w:hAnsi="Times New Roman" w:eastAsia="宋体" w:cs="Times New Roman"/>
                        <w:kern w:val="2"/>
                        <w:sz w:val="18"/>
                        <w:szCs w:val="18"/>
                        <w:lang w:val="en-US" w:eastAsia="zh-CN" w:bidi="ar-SA"/>
                      </w:rPr>
                      <w:fldChar w:fldCharType="begin"/>
                    </w:r>
                    <w:r>
                      <w:rPr>
                        <w:rStyle w:val="18"/>
                        <w:rFonts w:ascii="Times New Roman" w:hAnsi="Times New Roman" w:eastAsia="宋体" w:cs="Times New Roman"/>
                        <w:kern w:val="2"/>
                        <w:sz w:val="21"/>
                        <w:szCs w:val="24"/>
                        <w:lang w:val="en-US" w:eastAsia="zh-CN" w:bidi="ar-SA"/>
                      </w:rPr>
                      <w:instrText xml:space="preserve"> PAGE </w:instrText>
                    </w:r>
                    <w:r>
                      <w:rPr>
                        <w:rFonts w:ascii="Times New Roman" w:hAnsi="Times New Roman" w:eastAsia="宋体" w:cs="Times New Roman"/>
                        <w:kern w:val="2"/>
                        <w:sz w:val="18"/>
                        <w:szCs w:val="18"/>
                        <w:lang w:val="en-US" w:eastAsia="zh-CN" w:bidi="ar-SA"/>
                      </w:rPr>
                      <w:fldChar w:fldCharType="separate"/>
                    </w:r>
                    <w:r>
                      <w:rPr>
                        <w:rStyle w:val="18"/>
                        <w:rFonts w:ascii="Times New Roman" w:hAnsi="Times New Roman" w:eastAsia="宋体" w:cs="Times New Roman"/>
                        <w:kern w:val="2"/>
                        <w:sz w:val="21"/>
                        <w:szCs w:val="24"/>
                        <w:lang w:val="en-US" w:eastAsia="zh-CN" w:bidi="ar-SA"/>
                      </w:rPr>
                      <w:t>4</w:t>
                    </w:r>
                    <w:r>
                      <w:rPr>
                        <w:rFonts w:ascii="Times New Roman" w:hAnsi="Times New Roman" w:eastAsia="宋体" w:cs="Times New Roman"/>
                        <w:kern w:val="2"/>
                        <w:sz w:val="18"/>
                        <w:szCs w:val="18"/>
                        <w:lang w:val="en-US" w:eastAsia="zh-CN" w:bidi="ar-SA"/>
                      </w:rP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jc w:val="center"/>
      <w:rPr>
        <w:rFonts w:ascii="Times New Roman" w:hAnsi="Times New Roman" w:eastAsia="宋体" w:cs="Times New Roman"/>
        <w:kern w:val="2"/>
        <w:sz w:val="18"/>
        <w:szCs w:val="18"/>
        <w:lang w:val="en-US" w:eastAsia="zh-CN" w:bidi="ar-SA"/>
      </w:rPr>
    </w:pPr>
    <w:r>
      <w:rPr>
        <w:sz w:val="18"/>
      </w:rPr>
      <mc:AlternateContent>
        <mc:Choice Requires="wps">
          <w:drawing>
            <wp:anchor distT="0" distB="0" distL="114300" distR="114300" simplePos="0" relativeHeight="251678720" behindDoc="0" locked="0" layoutInCell="1" allowOverlap="1">
              <wp:simplePos x="0" y="0"/>
              <wp:positionH relativeFrom="margin">
                <wp:align>outside</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widowControl w:val="0"/>
                            <w:snapToGrid w:val="0"/>
                            <w:jc w:val="cente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zh-CN" w:eastAsia="zh-CN" w:bidi="ar-SA"/>
                            </w:rPr>
                            <w:t>49</w:t>
                          </w:r>
                          <w:r>
                            <w:rPr>
                              <w:rFonts w:ascii="Times New Roman" w:hAnsi="Times New Roman" w:eastAsia="宋体" w:cs="Times New Roman"/>
                              <w:kern w:val="2"/>
                              <w:sz w:val="18"/>
                              <w:szCs w:val="18"/>
                              <w:lang w:val="en-US" w:eastAsia="zh-CN" w:bidi="ar-SA"/>
                            </w:rP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7872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LNJWO7QAAAABQEAAA8AAAAAAAAAAQAgAAAAOAAAAGRycy9kb3ducmV2LnhtbFBLAQIUABQA&#10;AAAIAIdO4kCa/cNOGwIAACkEAAAOAAAAAAAAAAEAIAAAADUBAABkcnMvZTJvRG9jLnhtbFBLBQYA&#10;AAAABgAGAFkBAADCBQAAAAA=&#10;">
              <v:fill on="f" focussize="0,0"/>
              <v:stroke on="f" weight="0.5pt"/>
              <v:imagedata o:title=""/>
              <o:lock v:ext="edit" aspectratio="f"/>
              <v:textbox inset="0mm,0mm,0mm,0mm" style="mso-fit-shape-to-text:t;">
                <w:txbxContent>
                  <w:p>
                    <w:pPr>
                      <w:widowControl w:val="0"/>
                      <w:snapToGrid w:val="0"/>
                      <w:jc w:val="cente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zh-CN" w:eastAsia="zh-CN" w:bidi="ar-SA"/>
                      </w:rPr>
                      <w:t>49</w:t>
                    </w:r>
                    <w:r>
                      <w:rPr>
                        <w:rFonts w:ascii="Times New Roman" w:hAnsi="Times New Roman" w:eastAsia="宋体" w:cs="Times New Roman"/>
                        <w:kern w:val="2"/>
                        <w:sz w:val="18"/>
                        <w:szCs w:val="18"/>
                        <w:lang w:val="en-US" w:eastAsia="zh-CN" w:bidi="ar-SA"/>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40" w:lineRule="auto"/>
      <w:jc w:val="both"/>
      <w:rPr>
        <w:rFonts w:ascii="Times New Roman" w:hAnsi="Times New Roman" w:cs="Times New Roman"/>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40" w:lineRule="auto"/>
      <w:jc w:val="both"/>
      <w:rPr>
        <w:rFonts w:ascii="Times New Roman" w:hAnsi="Times New Roman" w:cs="Times New Roman"/>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DBA5E7"/>
    <w:multiLevelType w:val="singleLevel"/>
    <w:tmpl w:val="83DBA5E7"/>
    <w:lvl w:ilvl="0" w:tentative="0">
      <w:start w:val="1"/>
      <w:numFmt w:val="decimal"/>
      <w:lvlText w:val="%1)"/>
      <w:lvlJc w:val="left"/>
      <w:pPr>
        <w:ind w:left="425" w:hanging="425"/>
      </w:pPr>
      <w:rPr>
        <w:rFonts w:hint="default"/>
      </w:rPr>
    </w:lvl>
  </w:abstractNum>
  <w:abstractNum w:abstractNumId="1">
    <w:nsid w:val="83EBBA94"/>
    <w:multiLevelType w:val="singleLevel"/>
    <w:tmpl w:val="83EBBA94"/>
    <w:lvl w:ilvl="0" w:tentative="0">
      <w:start w:val="1"/>
      <w:numFmt w:val="decimal"/>
      <w:lvlText w:val="%1)"/>
      <w:lvlJc w:val="left"/>
      <w:pPr>
        <w:ind w:left="425" w:hanging="425"/>
      </w:pPr>
      <w:rPr>
        <w:rFonts w:hint="default"/>
      </w:rPr>
    </w:lvl>
  </w:abstractNum>
  <w:abstractNum w:abstractNumId="2">
    <w:nsid w:val="84F578C7"/>
    <w:multiLevelType w:val="multilevel"/>
    <w:tmpl w:val="84F578C7"/>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
    <w:nsid w:val="84FB93B4"/>
    <w:multiLevelType w:val="singleLevel"/>
    <w:tmpl w:val="84FB93B4"/>
    <w:lvl w:ilvl="0" w:tentative="0">
      <w:start w:val="1"/>
      <w:numFmt w:val="decimal"/>
      <w:lvlText w:val="%1)"/>
      <w:lvlJc w:val="left"/>
      <w:pPr>
        <w:ind w:left="425" w:hanging="425"/>
      </w:pPr>
      <w:rPr>
        <w:rFonts w:hint="default"/>
      </w:rPr>
    </w:lvl>
  </w:abstractNum>
  <w:abstractNum w:abstractNumId="4">
    <w:nsid w:val="8708D4B3"/>
    <w:multiLevelType w:val="singleLevel"/>
    <w:tmpl w:val="8708D4B3"/>
    <w:lvl w:ilvl="0" w:tentative="0">
      <w:start w:val="1"/>
      <w:numFmt w:val="decimal"/>
      <w:lvlText w:val="%1)"/>
      <w:lvlJc w:val="left"/>
      <w:pPr>
        <w:ind w:left="425" w:hanging="425"/>
      </w:pPr>
      <w:rPr>
        <w:rFonts w:hint="default"/>
      </w:rPr>
    </w:lvl>
  </w:abstractNum>
  <w:abstractNum w:abstractNumId="5">
    <w:nsid w:val="8C364607"/>
    <w:multiLevelType w:val="singleLevel"/>
    <w:tmpl w:val="8C364607"/>
    <w:lvl w:ilvl="0" w:tentative="0">
      <w:start w:val="1"/>
      <w:numFmt w:val="decimal"/>
      <w:lvlText w:val="%1)"/>
      <w:lvlJc w:val="left"/>
      <w:pPr>
        <w:ind w:left="425" w:hanging="425"/>
      </w:pPr>
      <w:rPr>
        <w:rFonts w:hint="default"/>
      </w:rPr>
    </w:lvl>
  </w:abstractNum>
  <w:abstractNum w:abstractNumId="6">
    <w:nsid w:val="8D28BF8F"/>
    <w:multiLevelType w:val="singleLevel"/>
    <w:tmpl w:val="8D28BF8F"/>
    <w:lvl w:ilvl="0" w:tentative="0">
      <w:start w:val="1"/>
      <w:numFmt w:val="decimal"/>
      <w:lvlText w:val="%1)"/>
      <w:lvlJc w:val="left"/>
      <w:pPr>
        <w:ind w:left="425" w:hanging="425"/>
      </w:pPr>
      <w:rPr>
        <w:rFonts w:hint="default"/>
      </w:rPr>
    </w:lvl>
  </w:abstractNum>
  <w:abstractNum w:abstractNumId="7">
    <w:nsid w:val="9246A3F9"/>
    <w:multiLevelType w:val="singleLevel"/>
    <w:tmpl w:val="9246A3F9"/>
    <w:lvl w:ilvl="0" w:tentative="0">
      <w:start w:val="1"/>
      <w:numFmt w:val="decimal"/>
      <w:lvlText w:val="%1)"/>
      <w:lvlJc w:val="left"/>
      <w:pPr>
        <w:ind w:left="425" w:hanging="425"/>
      </w:pPr>
      <w:rPr>
        <w:rFonts w:hint="default"/>
      </w:rPr>
    </w:lvl>
  </w:abstractNum>
  <w:abstractNum w:abstractNumId="8">
    <w:nsid w:val="92925DD9"/>
    <w:multiLevelType w:val="singleLevel"/>
    <w:tmpl w:val="92925DD9"/>
    <w:lvl w:ilvl="0" w:tentative="0">
      <w:start w:val="1"/>
      <w:numFmt w:val="decimal"/>
      <w:lvlText w:val="%1)"/>
      <w:lvlJc w:val="left"/>
      <w:pPr>
        <w:ind w:left="425" w:hanging="425"/>
      </w:pPr>
      <w:rPr>
        <w:rFonts w:hint="default"/>
      </w:rPr>
    </w:lvl>
  </w:abstractNum>
  <w:abstractNum w:abstractNumId="9">
    <w:nsid w:val="9495C066"/>
    <w:multiLevelType w:val="singleLevel"/>
    <w:tmpl w:val="9495C066"/>
    <w:lvl w:ilvl="0" w:tentative="0">
      <w:start w:val="1"/>
      <w:numFmt w:val="decimal"/>
      <w:lvlText w:val="%1)"/>
      <w:lvlJc w:val="left"/>
      <w:pPr>
        <w:ind w:left="425" w:hanging="425"/>
      </w:pPr>
      <w:rPr>
        <w:rFonts w:hint="default"/>
      </w:rPr>
    </w:lvl>
  </w:abstractNum>
  <w:abstractNum w:abstractNumId="10">
    <w:nsid w:val="95B6B5F6"/>
    <w:multiLevelType w:val="singleLevel"/>
    <w:tmpl w:val="95B6B5F6"/>
    <w:lvl w:ilvl="0" w:tentative="0">
      <w:start w:val="1"/>
      <w:numFmt w:val="decimal"/>
      <w:lvlText w:val="%1)"/>
      <w:lvlJc w:val="left"/>
      <w:pPr>
        <w:ind w:left="425" w:hanging="425"/>
      </w:pPr>
      <w:rPr>
        <w:rFonts w:hint="default"/>
      </w:rPr>
    </w:lvl>
  </w:abstractNum>
  <w:abstractNum w:abstractNumId="11">
    <w:nsid w:val="99CFE818"/>
    <w:multiLevelType w:val="multilevel"/>
    <w:tmpl w:val="99CFE818"/>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2">
    <w:nsid w:val="9A33744E"/>
    <w:multiLevelType w:val="singleLevel"/>
    <w:tmpl w:val="9A33744E"/>
    <w:lvl w:ilvl="0" w:tentative="0">
      <w:start w:val="1"/>
      <w:numFmt w:val="decimal"/>
      <w:lvlText w:val="%1)"/>
      <w:lvlJc w:val="left"/>
      <w:pPr>
        <w:ind w:left="425" w:hanging="425"/>
      </w:pPr>
      <w:rPr>
        <w:rFonts w:hint="default"/>
      </w:rPr>
    </w:lvl>
  </w:abstractNum>
  <w:abstractNum w:abstractNumId="13">
    <w:nsid w:val="A407D905"/>
    <w:multiLevelType w:val="singleLevel"/>
    <w:tmpl w:val="A407D905"/>
    <w:lvl w:ilvl="0" w:tentative="0">
      <w:start w:val="1"/>
      <w:numFmt w:val="decimal"/>
      <w:lvlText w:val="%1)"/>
      <w:lvlJc w:val="left"/>
      <w:pPr>
        <w:ind w:left="425" w:hanging="425"/>
      </w:pPr>
      <w:rPr>
        <w:rFonts w:hint="default"/>
      </w:rPr>
    </w:lvl>
  </w:abstractNum>
  <w:abstractNum w:abstractNumId="14">
    <w:nsid w:val="A810ADA8"/>
    <w:multiLevelType w:val="singleLevel"/>
    <w:tmpl w:val="A810ADA8"/>
    <w:lvl w:ilvl="0" w:tentative="0">
      <w:start w:val="1"/>
      <w:numFmt w:val="decimal"/>
      <w:lvlText w:val="%1)"/>
      <w:lvlJc w:val="left"/>
      <w:pPr>
        <w:ind w:left="425" w:hanging="425"/>
      </w:pPr>
      <w:rPr>
        <w:rFonts w:hint="default"/>
      </w:rPr>
    </w:lvl>
  </w:abstractNum>
  <w:abstractNum w:abstractNumId="15">
    <w:nsid w:val="A98F31BB"/>
    <w:multiLevelType w:val="singleLevel"/>
    <w:tmpl w:val="A98F31BB"/>
    <w:lvl w:ilvl="0" w:tentative="0">
      <w:start w:val="1"/>
      <w:numFmt w:val="decimal"/>
      <w:lvlText w:val="%1)"/>
      <w:lvlJc w:val="left"/>
      <w:pPr>
        <w:ind w:left="425" w:hanging="425"/>
      </w:pPr>
      <w:rPr>
        <w:rFonts w:hint="default"/>
      </w:rPr>
    </w:lvl>
  </w:abstractNum>
  <w:abstractNum w:abstractNumId="16">
    <w:nsid w:val="B1849702"/>
    <w:multiLevelType w:val="singleLevel"/>
    <w:tmpl w:val="B1849702"/>
    <w:lvl w:ilvl="0" w:tentative="0">
      <w:start w:val="1"/>
      <w:numFmt w:val="decimal"/>
      <w:lvlText w:val="%1)"/>
      <w:lvlJc w:val="left"/>
      <w:pPr>
        <w:ind w:left="425" w:hanging="425"/>
      </w:pPr>
      <w:rPr>
        <w:rFonts w:hint="default"/>
      </w:rPr>
    </w:lvl>
  </w:abstractNum>
  <w:abstractNum w:abstractNumId="17">
    <w:nsid w:val="BAB26753"/>
    <w:multiLevelType w:val="singleLevel"/>
    <w:tmpl w:val="BAB26753"/>
    <w:lvl w:ilvl="0" w:tentative="0">
      <w:start w:val="1"/>
      <w:numFmt w:val="decimal"/>
      <w:lvlText w:val="%1)"/>
      <w:lvlJc w:val="left"/>
      <w:pPr>
        <w:ind w:left="425" w:hanging="425"/>
      </w:pPr>
      <w:rPr>
        <w:rFonts w:hint="default"/>
      </w:rPr>
    </w:lvl>
  </w:abstractNum>
  <w:abstractNum w:abstractNumId="18">
    <w:nsid w:val="BD30306E"/>
    <w:multiLevelType w:val="singleLevel"/>
    <w:tmpl w:val="BD30306E"/>
    <w:lvl w:ilvl="0" w:tentative="0">
      <w:start w:val="1"/>
      <w:numFmt w:val="decimal"/>
      <w:lvlText w:val="%1)"/>
      <w:lvlJc w:val="left"/>
      <w:pPr>
        <w:ind w:left="425" w:hanging="425"/>
      </w:pPr>
      <w:rPr>
        <w:rFonts w:hint="default"/>
      </w:rPr>
    </w:lvl>
  </w:abstractNum>
  <w:abstractNum w:abstractNumId="19">
    <w:nsid w:val="C5483A88"/>
    <w:multiLevelType w:val="singleLevel"/>
    <w:tmpl w:val="C5483A88"/>
    <w:lvl w:ilvl="0" w:tentative="0">
      <w:start w:val="1"/>
      <w:numFmt w:val="decimal"/>
      <w:lvlText w:val="%1)"/>
      <w:lvlJc w:val="left"/>
      <w:pPr>
        <w:ind w:left="425" w:hanging="425"/>
      </w:pPr>
      <w:rPr>
        <w:rFonts w:hint="default"/>
      </w:rPr>
    </w:lvl>
  </w:abstractNum>
  <w:abstractNum w:abstractNumId="20">
    <w:nsid w:val="C8EB7D22"/>
    <w:multiLevelType w:val="singleLevel"/>
    <w:tmpl w:val="C8EB7D22"/>
    <w:lvl w:ilvl="0" w:tentative="0">
      <w:start w:val="1"/>
      <w:numFmt w:val="decimal"/>
      <w:lvlText w:val="%1)"/>
      <w:lvlJc w:val="left"/>
      <w:pPr>
        <w:ind w:left="425" w:hanging="425"/>
      </w:pPr>
      <w:rPr>
        <w:rFonts w:hint="default"/>
      </w:rPr>
    </w:lvl>
  </w:abstractNum>
  <w:abstractNum w:abstractNumId="21">
    <w:nsid w:val="D11ABC0A"/>
    <w:multiLevelType w:val="singleLevel"/>
    <w:tmpl w:val="D11ABC0A"/>
    <w:lvl w:ilvl="0" w:tentative="0">
      <w:start w:val="1"/>
      <w:numFmt w:val="decimal"/>
      <w:lvlText w:val="%1)"/>
      <w:lvlJc w:val="left"/>
      <w:pPr>
        <w:ind w:left="425" w:hanging="425"/>
      </w:pPr>
      <w:rPr>
        <w:rFonts w:hint="default"/>
      </w:rPr>
    </w:lvl>
  </w:abstractNum>
  <w:abstractNum w:abstractNumId="22">
    <w:nsid w:val="D233C103"/>
    <w:multiLevelType w:val="singleLevel"/>
    <w:tmpl w:val="D233C103"/>
    <w:lvl w:ilvl="0" w:tentative="0">
      <w:start w:val="1"/>
      <w:numFmt w:val="decimal"/>
      <w:lvlText w:val="%1)"/>
      <w:lvlJc w:val="left"/>
      <w:pPr>
        <w:ind w:left="425" w:hanging="425"/>
      </w:pPr>
      <w:rPr>
        <w:rFonts w:hint="default"/>
      </w:rPr>
    </w:lvl>
  </w:abstractNum>
  <w:abstractNum w:abstractNumId="23">
    <w:nsid w:val="D3E6258F"/>
    <w:multiLevelType w:val="singleLevel"/>
    <w:tmpl w:val="D3E6258F"/>
    <w:lvl w:ilvl="0" w:tentative="0">
      <w:start w:val="1"/>
      <w:numFmt w:val="decimal"/>
      <w:lvlText w:val="%1)"/>
      <w:lvlJc w:val="left"/>
      <w:pPr>
        <w:ind w:left="425" w:hanging="425"/>
      </w:pPr>
      <w:rPr>
        <w:rFonts w:hint="default"/>
      </w:rPr>
    </w:lvl>
  </w:abstractNum>
  <w:abstractNum w:abstractNumId="24">
    <w:nsid w:val="DB9351FC"/>
    <w:multiLevelType w:val="singleLevel"/>
    <w:tmpl w:val="DB9351FC"/>
    <w:lvl w:ilvl="0" w:tentative="0">
      <w:start w:val="1"/>
      <w:numFmt w:val="decimal"/>
      <w:lvlText w:val="%1)"/>
      <w:lvlJc w:val="left"/>
      <w:pPr>
        <w:ind w:left="425" w:hanging="425"/>
      </w:pPr>
      <w:rPr>
        <w:rFonts w:hint="default"/>
      </w:rPr>
    </w:lvl>
  </w:abstractNum>
  <w:abstractNum w:abstractNumId="25">
    <w:nsid w:val="DD5F520B"/>
    <w:multiLevelType w:val="singleLevel"/>
    <w:tmpl w:val="DD5F520B"/>
    <w:lvl w:ilvl="0" w:tentative="0">
      <w:start w:val="1"/>
      <w:numFmt w:val="decimal"/>
      <w:lvlText w:val="%1)"/>
      <w:lvlJc w:val="left"/>
      <w:pPr>
        <w:ind w:left="425" w:hanging="425"/>
      </w:pPr>
      <w:rPr>
        <w:rFonts w:hint="default"/>
      </w:rPr>
    </w:lvl>
  </w:abstractNum>
  <w:abstractNum w:abstractNumId="26">
    <w:nsid w:val="E89ED233"/>
    <w:multiLevelType w:val="multilevel"/>
    <w:tmpl w:val="E89ED233"/>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7">
    <w:nsid w:val="EC4D4141"/>
    <w:multiLevelType w:val="singleLevel"/>
    <w:tmpl w:val="EC4D4141"/>
    <w:lvl w:ilvl="0" w:tentative="0">
      <w:start w:val="1"/>
      <w:numFmt w:val="decimal"/>
      <w:lvlText w:val="%1)"/>
      <w:lvlJc w:val="left"/>
      <w:pPr>
        <w:ind w:left="425" w:hanging="425"/>
      </w:pPr>
      <w:rPr>
        <w:rFonts w:hint="default"/>
      </w:rPr>
    </w:lvl>
  </w:abstractNum>
  <w:abstractNum w:abstractNumId="28">
    <w:nsid w:val="F1CAC6C6"/>
    <w:multiLevelType w:val="singleLevel"/>
    <w:tmpl w:val="F1CAC6C6"/>
    <w:lvl w:ilvl="0" w:tentative="0">
      <w:start w:val="1"/>
      <w:numFmt w:val="decimal"/>
      <w:lvlText w:val="%1)"/>
      <w:lvlJc w:val="left"/>
      <w:pPr>
        <w:ind w:left="425" w:hanging="425"/>
      </w:pPr>
      <w:rPr>
        <w:rFonts w:hint="default"/>
      </w:rPr>
    </w:lvl>
  </w:abstractNum>
  <w:abstractNum w:abstractNumId="29">
    <w:nsid w:val="F2F3A058"/>
    <w:multiLevelType w:val="singleLevel"/>
    <w:tmpl w:val="F2F3A058"/>
    <w:lvl w:ilvl="0" w:tentative="0">
      <w:start w:val="1"/>
      <w:numFmt w:val="decimal"/>
      <w:lvlText w:val="%1)"/>
      <w:lvlJc w:val="left"/>
      <w:pPr>
        <w:ind w:left="425" w:hanging="425"/>
      </w:pPr>
      <w:rPr>
        <w:rFonts w:hint="default"/>
      </w:rPr>
    </w:lvl>
  </w:abstractNum>
  <w:abstractNum w:abstractNumId="30">
    <w:nsid w:val="F4EFA3D1"/>
    <w:multiLevelType w:val="singleLevel"/>
    <w:tmpl w:val="F4EFA3D1"/>
    <w:lvl w:ilvl="0" w:tentative="0">
      <w:start w:val="1"/>
      <w:numFmt w:val="decimal"/>
      <w:suff w:val="nothing"/>
      <w:lvlText w:val="%1）"/>
      <w:lvlJc w:val="left"/>
    </w:lvl>
  </w:abstractNum>
  <w:abstractNum w:abstractNumId="31">
    <w:nsid w:val="F5EAC65E"/>
    <w:multiLevelType w:val="multilevel"/>
    <w:tmpl w:val="F5EAC65E"/>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2">
    <w:nsid w:val="F71B8255"/>
    <w:multiLevelType w:val="singleLevel"/>
    <w:tmpl w:val="F71B8255"/>
    <w:lvl w:ilvl="0" w:tentative="0">
      <w:start w:val="1"/>
      <w:numFmt w:val="decimal"/>
      <w:lvlText w:val="%1)"/>
      <w:lvlJc w:val="left"/>
      <w:pPr>
        <w:ind w:left="425" w:hanging="425"/>
      </w:pPr>
      <w:rPr>
        <w:rFonts w:hint="default"/>
      </w:rPr>
    </w:lvl>
  </w:abstractNum>
  <w:abstractNum w:abstractNumId="33">
    <w:nsid w:val="F89628A9"/>
    <w:multiLevelType w:val="multilevel"/>
    <w:tmpl w:val="F89628A9"/>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4">
    <w:nsid w:val="FA73BABC"/>
    <w:multiLevelType w:val="singleLevel"/>
    <w:tmpl w:val="FA73BABC"/>
    <w:lvl w:ilvl="0" w:tentative="0">
      <w:start w:val="1"/>
      <w:numFmt w:val="decimal"/>
      <w:lvlText w:val="%1)"/>
      <w:lvlJc w:val="left"/>
      <w:pPr>
        <w:ind w:left="425" w:hanging="425"/>
      </w:pPr>
      <w:rPr>
        <w:rFonts w:hint="default"/>
      </w:rPr>
    </w:lvl>
  </w:abstractNum>
  <w:abstractNum w:abstractNumId="35">
    <w:nsid w:val="FDB36FEA"/>
    <w:multiLevelType w:val="singleLevel"/>
    <w:tmpl w:val="FDB36FEA"/>
    <w:lvl w:ilvl="0" w:tentative="0">
      <w:start w:val="1"/>
      <w:numFmt w:val="decimal"/>
      <w:lvlText w:val="%1)"/>
      <w:lvlJc w:val="left"/>
      <w:pPr>
        <w:ind w:left="425" w:hanging="425"/>
      </w:pPr>
      <w:rPr>
        <w:rFonts w:hint="default"/>
      </w:rPr>
    </w:lvl>
  </w:abstractNum>
  <w:abstractNum w:abstractNumId="36">
    <w:nsid w:val="FE420ADC"/>
    <w:multiLevelType w:val="singleLevel"/>
    <w:tmpl w:val="FE420ADC"/>
    <w:lvl w:ilvl="0" w:tentative="0">
      <w:start w:val="1"/>
      <w:numFmt w:val="decimal"/>
      <w:lvlText w:val="%1)"/>
      <w:lvlJc w:val="left"/>
      <w:pPr>
        <w:ind w:left="425" w:hanging="425"/>
      </w:pPr>
      <w:rPr>
        <w:rFonts w:hint="default"/>
      </w:rPr>
    </w:lvl>
  </w:abstractNum>
  <w:abstractNum w:abstractNumId="37">
    <w:nsid w:val="FF2F5DC7"/>
    <w:multiLevelType w:val="singleLevel"/>
    <w:tmpl w:val="FF2F5DC7"/>
    <w:lvl w:ilvl="0" w:tentative="0">
      <w:start w:val="1"/>
      <w:numFmt w:val="decimal"/>
      <w:lvlText w:val="%1)"/>
      <w:lvlJc w:val="left"/>
      <w:pPr>
        <w:ind w:left="425" w:hanging="425"/>
      </w:pPr>
      <w:rPr>
        <w:rFonts w:hint="default"/>
      </w:rPr>
    </w:lvl>
  </w:abstractNum>
  <w:abstractNum w:abstractNumId="38">
    <w:nsid w:val="00A7F286"/>
    <w:multiLevelType w:val="singleLevel"/>
    <w:tmpl w:val="00A7F286"/>
    <w:lvl w:ilvl="0" w:tentative="0">
      <w:start w:val="1"/>
      <w:numFmt w:val="decimal"/>
      <w:lvlText w:val="%1)"/>
      <w:lvlJc w:val="left"/>
      <w:pPr>
        <w:ind w:left="425" w:hanging="425"/>
      </w:pPr>
      <w:rPr>
        <w:rFonts w:hint="default"/>
      </w:rPr>
    </w:lvl>
  </w:abstractNum>
  <w:abstractNum w:abstractNumId="39">
    <w:nsid w:val="012E7FA8"/>
    <w:multiLevelType w:val="multilevel"/>
    <w:tmpl w:val="012E7FA8"/>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0">
    <w:nsid w:val="017DDC7F"/>
    <w:multiLevelType w:val="singleLevel"/>
    <w:tmpl w:val="017DDC7F"/>
    <w:lvl w:ilvl="0" w:tentative="0">
      <w:start w:val="1"/>
      <w:numFmt w:val="decimal"/>
      <w:suff w:val="nothing"/>
      <w:lvlText w:val="%1）"/>
      <w:lvlJc w:val="left"/>
    </w:lvl>
  </w:abstractNum>
  <w:abstractNum w:abstractNumId="41">
    <w:nsid w:val="01A70EEC"/>
    <w:multiLevelType w:val="multilevel"/>
    <w:tmpl w:val="01A70EEC"/>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2">
    <w:nsid w:val="020E12A4"/>
    <w:multiLevelType w:val="multilevel"/>
    <w:tmpl w:val="020E12A4"/>
    <w:lvl w:ilvl="0" w:tentative="0">
      <w:start w:val="1"/>
      <w:numFmt w:val="decimal"/>
      <w:lvlText w:val="%1"/>
      <w:lvlJc w:val="left"/>
      <w:pPr>
        <w:ind w:left="900" w:hanging="420"/>
      </w:pPr>
      <w:rPr>
        <w:rFonts w:hint="eastAsia"/>
        <w:b/>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3">
    <w:nsid w:val="0333158F"/>
    <w:multiLevelType w:val="multilevel"/>
    <w:tmpl w:val="0333158F"/>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4">
    <w:nsid w:val="04CC299F"/>
    <w:multiLevelType w:val="multilevel"/>
    <w:tmpl w:val="04CC299F"/>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5">
    <w:nsid w:val="05BF2812"/>
    <w:multiLevelType w:val="multilevel"/>
    <w:tmpl w:val="05BF2812"/>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6">
    <w:nsid w:val="05F670C9"/>
    <w:multiLevelType w:val="multilevel"/>
    <w:tmpl w:val="05F670C9"/>
    <w:lvl w:ilvl="0" w:tentative="0">
      <w:start w:val="1"/>
      <w:numFmt w:val="decimal"/>
      <w:lvlText w:val="%1"/>
      <w:lvlJc w:val="left"/>
      <w:pPr>
        <w:ind w:left="900" w:hanging="420"/>
      </w:pPr>
      <w:rPr>
        <w:rFonts w:hint="default"/>
        <w:b/>
        <w:i w:val="0"/>
        <w:iCs w:val="0"/>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7">
    <w:nsid w:val="0A8CB03B"/>
    <w:multiLevelType w:val="singleLevel"/>
    <w:tmpl w:val="0A8CB03B"/>
    <w:lvl w:ilvl="0" w:tentative="0">
      <w:start w:val="1"/>
      <w:numFmt w:val="decimal"/>
      <w:lvlText w:val="%1)"/>
      <w:lvlJc w:val="left"/>
      <w:pPr>
        <w:ind w:left="425" w:hanging="425"/>
      </w:pPr>
      <w:rPr>
        <w:rFonts w:hint="default"/>
      </w:rPr>
    </w:lvl>
  </w:abstractNum>
  <w:abstractNum w:abstractNumId="48">
    <w:nsid w:val="0A908CB5"/>
    <w:multiLevelType w:val="singleLevel"/>
    <w:tmpl w:val="0A908CB5"/>
    <w:lvl w:ilvl="0" w:tentative="0">
      <w:start w:val="1"/>
      <w:numFmt w:val="decimal"/>
      <w:lvlText w:val="%1)"/>
      <w:lvlJc w:val="left"/>
      <w:pPr>
        <w:ind w:left="425" w:hanging="425"/>
      </w:pPr>
      <w:rPr>
        <w:rFonts w:hint="default"/>
      </w:rPr>
    </w:lvl>
  </w:abstractNum>
  <w:abstractNum w:abstractNumId="49">
    <w:nsid w:val="0AC9D893"/>
    <w:multiLevelType w:val="singleLevel"/>
    <w:tmpl w:val="0AC9D893"/>
    <w:lvl w:ilvl="0" w:tentative="0">
      <w:start w:val="1"/>
      <w:numFmt w:val="decimal"/>
      <w:lvlText w:val="%1)"/>
      <w:lvlJc w:val="left"/>
      <w:pPr>
        <w:ind w:left="425" w:hanging="425"/>
      </w:pPr>
      <w:rPr>
        <w:rFonts w:hint="default"/>
      </w:rPr>
    </w:lvl>
  </w:abstractNum>
  <w:abstractNum w:abstractNumId="50">
    <w:nsid w:val="0C165FA0"/>
    <w:multiLevelType w:val="multilevel"/>
    <w:tmpl w:val="0C165FA0"/>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51">
    <w:nsid w:val="0E0631E5"/>
    <w:multiLevelType w:val="multilevel"/>
    <w:tmpl w:val="0E0631E5"/>
    <w:lvl w:ilvl="0" w:tentative="0">
      <w:start w:val="1"/>
      <w:numFmt w:val="decimal"/>
      <w:lvlText w:val="%1"/>
      <w:lvlJc w:val="left"/>
      <w:pPr>
        <w:ind w:left="900" w:hanging="420"/>
      </w:pPr>
      <w:rPr>
        <w:rFonts w:hint="eastAsia"/>
        <w:b/>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52">
    <w:nsid w:val="0EB4476C"/>
    <w:multiLevelType w:val="multilevel"/>
    <w:tmpl w:val="0EB4476C"/>
    <w:lvl w:ilvl="0" w:tentative="0">
      <w:start w:val="1"/>
      <w:numFmt w:val="decimal"/>
      <w:lvlText w:val="%1"/>
      <w:lvlJc w:val="left"/>
      <w:pPr>
        <w:ind w:left="900" w:hanging="420"/>
      </w:pPr>
      <w:rPr>
        <w:rFonts w:hint="eastAsia"/>
        <w:b/>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53">
    <w:nsid w:val="0EF37032"/>
    <w:multiLevelType w:val="singleLevel"/>
    <w:tmpl w:val="0EF37032"/>
    <w:lvl w:ilvl="0" w:tentative="0">
      <w:start w:val="1"/>
      <w:numFmt w:val="decimal"/>
      <w:lvlText w:val="%1)"/>
      <w:lvlJc w:val="left"/>
      <w:pPr>
        <w:ind w:left="425" w:hanging="425"/>
      </w:pPr>
      <w:rPr>
        <w:rFonts w:hint="default"/>
      </w:rPr>
    </w:lvl>
  </w:abstractNum>
  <w:abstractNum w:abstractNumId="54">
    <w:nsid w:val="0FC11142"/>
    <w:multiLevelType w:val="multilevel"/>
    <w:tmpl w:val="0FC11142"/>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55">
    <w:nsid w:val="1249ABEC"/>
    <w:multiLevelType w:val="singleLevel"/>
    <w:tmpl w:val="1249ABEC"/>
    <w:lvl w:ilvl="0" w:tentative="0">
      <w:start w:val="1"/>
      <w:numFmt w:val="decimal"/>
      <w:lvlText w:val="%1)"/>
      <w:lvlJc w:val="left"/>
      <w:pPr>
        <w:ind w:left="425" w:hanging="425"/>
      </w:pPr>
      <w:rPr>
        <w:rFonts w:hint="default"/>
      </w:rPr>
    </w:lvl>
  </w:abstractNum>
  <w:abstractNum w:abstractNumId="56">
    <w:nsid w:val="13631CD4"/>
    <w:multiLevelType w:val="singleLevel"/>
    <w:tmpl w:val="13631CD4"/>
    <w:lvl w:ilvl="0" w:tentative="0">
      <w:start w:val="1"/>
      <w:numFmt w:val="decimal"/>
      <w:lvlText w:val="%1)"/>
      <w:lvlJc w:val="left"/>
      <w:pPr>
        <w:ind w:left="425" w:hanging="425"/>
      </w:pPr>
      <w:rPr>
        <w:rFonts w:hint="default"/>
      </w:rPr>
    </w:lvl>
  </w:abstractNum>
  <w:abstractNum w:abstractNumId="57">
    <w:nsid w:val="1401134A"/>
    <w:multiLevelType w:val="multilevel"/>
    <w:tmpl w:val="1401134A"/>
    <w:lvl w:ilvl="0" w:tentative="0">
      <w:start w:val="1"/>
      <w:numFmt w:val="decimal"/>
      <w:lvlText w:val="%1"/>
      <w:lvlJc w:val="left"/>
      <w:pPr>
        <w:ind w:left="900" w:hanging="420"/>
      </w:pPr>
      <w:rPr>
        <w:rFonts w:hint="default" w:ascii="Times New Roman" w:hAnsi="Times New Roman" w:cs="Times New Roman"/>
        <w:b/>
        <w:bCs/>
        <w:color w:val="auto"/>
        <w:sz w:val="24"/>
        <w:szCs w:val="24"/>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58">
    <w:nsid w:val="15022088"/>
    <w:multiLevelType w:val="multilevel"/>
    <w:tmpl w:val="15022088"/>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59">
    <w:nsid w:val="15AEF321"/>
    <w:multiLevelType w:val="singleLevel"/>
    <w:tmpl w:val="15AEF321"/>
    <w:lvl w:ilvl="0" w:tentative="0">
      <w:start w:val="1"/>
      <w:numFmt w:val="decimal"/>
      <w:lvlText w:val="%1)"/>
      <w:lvlJc w:val="left"/>
      <w:pPr>
        <w:ind w:left="425" w:hanging="425"/>
      </w:pPr>
      <w:rPr>
        <w:rFonts w:hint="default"/>
      </w:rPr>
    </w:lvl>
  </w:abstractNum>
  <w:abstractNum w:abstractNumId="60">
    <w:nsid w:val="15BE9003"/>
    <w:multiLevelType w:val="singleLevel"/>
    <w:tmpl w:val="15BE9003"/>
    <w:lvl w:ilvl="0" w:tentative="0">
      <w:start w:val="1"/>
      <w:numFmt w:val="decimal"/>
      <w:lvlText w:val="%1)"/>
      <w:lvlJc w:val="left"/>
      <w:pPr>
        <w:ind w:left="425" w:hanging="425"/>
      </w:pPr>
      <w:rPr>
        <w:rFonts w:hint="default"/>
      </w:rPr>
    </w:lvl>
  </w:abstractNum>
  <w:abstractNum w:abstractNumId="61">
    <w:nsid w:val="15DA9FE5"/>
    <w:multiLevelType w:val="multilevel"/>
    <w:tmpl w:val="15DA9FE5"/>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62">
    <w:nsid w:val="16EFD644"/>
    <w:multiLevelType w:val="multilevel"/>
    <w:tmpl w:val="16EFD644"/>
    <w:lvl w:ilvl="0" w:tentative="0">
      <w:start w:val="1"/>
      <w:numFmt w:val="decimal"/>
      <w:lvlText w:val="%1"/>
      <w:lvlJc w:val="left"/>
      <w:pPr>
        <w:ind w:left="900" w:hanging="420"/>
      </w:pPr>
      <w:rPr>
        <w:rFonts w:hint="default" w:ascii="Times New Roman" w:hAnsi="Times New Roman" w:cs="Times New Roman"/>
        <w:b/>
        <w:bCs/>
        <w:color w:val="auto"/>
        <w:sz w:val="24"/>
        <w:szCs w:val="24"/>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63">
    <w:nsid w:val="18065320"/>
    <w:multiLevelType w:val="multilevel"/>
    <w:tmpl w:val="18065320"/>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64">
    <w:nsid w:val="182D844B"/>
    <w:multiLevelType w:val="singleLevel"/>
    <w:tmpl w:val="182D844B"/>
    <w:lvl w:ilvl="0" w:tentative="0">
      <w:start w:val="1"/>
      <w:numFmt w:val="decimal"/>
      <w:lvlText w:val="%1)"/>
      <w:lvlJc w:val="left"/>
      <w:pPr>
        <w:ind w:left="425" w:hanging="425"/>
      </w:pPr>
      <w:rPr>
        <w:rFonts w:hint="default"/>
      </w:rPr>
    </w:lvl>
  </w:abstractNum>
  <w:abstractNum w:abstractNumId="65">
    <w:nsid w:val="185D53A1"/>
    <w:multiLevelType w:val="multilevel"/>
    <w:tmpl w:val="185D53A1"/>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66">
    <w:nsid w:val="19335A2D"/>
    <w:multiLevelType w:val="multilevel"/>
    <w:tmpl w:val="19335A2D"/>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67">
    <w:nsid w:val="19FB7787"/>
    <w:multiLevelType w:val="singleLevel"/>
    <w:tmpl w:val="19FB7787"/>
    <w:lvl w:ilvl="0" w:tentative="0">
      <w:start w:val="1"/>
      <w:numFmt w:val="decimal"/>
      <w:lvlText w:val="%1)"/>
      <w:lvlJc w:val="left"/>
      <w:pPr>
        <w:ind w:left="425" w:hanging="425"/>
      </w:pPr>
      <w:rPr>
        <w:rFonts w:hint="default"/>
      </w:rPr>
    </w:lvl>
  </w:abstractNum>
  <w:abstractNum w:abstractNumId="68">
    <w:nsid w:val="1C4111FA"/>
    <w:multiLevelType w:val="multilevel"/>
    <w:tmpl w:val="1C4111FA"/>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69">
    <w:nsid w:val="1C896E96"/>
    <w:multiLevelType w:val="multilevel"/>
    <w:tmpl w:val="1C896E96"/>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70">
    <w:nsid w:val="1CE80B69"/>
    <w:multiLevelType w:val="singleLevel"/>
    <w:tmpl w:val="1CE80B69"/>
    <w:lvl w:ilvl="0" w:tentative="0">
      <w:start w:val="1"/>
      <w:numFmt w:val="decimal"/>
      <w:lvlText w:val="%1)"/>
      <w:lvlJc w:val="left"/>
      <w:pPr>
        <w:ind w:left="425" w:hanging="425"/>
      </w:pPr>
      <w:rPr>
        <w:rFonts w:hint="default"/>
      </w:rPr>
    </w:lvl>
  </w:abstractNum>
  <w:abstractNum w:abstractNumId="71">
    <w:nsid w:val="1D13D958"/>
    <w:multiLevelType w:val="singleLevel"/>
    <w:tmpl w:val="1D13D958"/>
    <w:lvl w:ilvl="0" w:tentative="0">
      <w:start w:val="1"/>
      <w:numFmt w:val="decimal"/>
      <w:lvlText w:val="%1)"/>
      <w:lvlJc w:val="left"/>
      <w:pPr>
        <w:ind w:left="425" w:hanging="425"/>
      </w:pPr>
      <w:rPr>
        <w:rFonts w:hint="default"/>
      </w:rPr>
    </w:lvl>
  </w:abstractNum>
  <w:abstractNum w:abstractNumId="72">
    <w:nsid w:val="1DD11050"/>
    <w:multiLevelType w:val="multilevel"/>
    <w:tmpl w:val="1DD11050"/>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73">
    <w:nsid w:val="1DF02A05"/>
    <w:multiLevelType w:val="multilevel"/>
    <w:tmpl w:val="1DF02A05"/>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74">
    <w:nsid w:val="1F042704"/>
    <w:multiLevelType w:val="singleLevel"/>
    <w:tmpl w:val="1F042704"/>
    <w:lvl w:ilvl="0" w:tentative="0">
      <w:start w:val="1"/>
      <w:numFmt w:val="decimal"/>
      <w:lvlText w:val="%1)"/>
      <w:lvlJc w:val="left"/>
      <w:pPr>
        <w:ind w:left="425" w:hanging="425"/>
      </w:pPr>
      <w:rPr>
        <w:rFonts w:hint="default"/>
      </w:rPr>
    </w:lvl>
  </w:abstractNum>
  <w:abstractNum w:abstractNumId="75">
    <w:nsid w:val="2409335A"/>
    <w:multiLevelType w:val="multilevel"/>
    <w:tmpl w:val="2409335A"/>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76">
    <w:nsid w:val="24F4674F"/>
    <w:multiLevelType w:val="multilevel"/>
    <w:tmpl w:val="24F4674F"/>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77">
    <w:nsid w:val="25A73BD4"/>
    <w:multiLevelType w:val="multilevel"/>
    <w:tmpl w:val="25A73BD4"/>
    <w:lvl w:ilvl="0" w:tentative="0">
      <w:start w:val="1"/>
      <w:numFmt w:val="decimal"/>
      <w:lvlText w:val="%1"/>
      <w:lvlJc w:val="left"/>
      <w:pPr>
        <w:ind w:left="845" w:hanging="420"/>
      </w:pPr>
      <w:rPr>
        <w:rFonts w:hint="default"/>
        <w:b/>
        <w:bCs/>
        <w:color w:val="auto"/>
      </w:rPr>
    </w:lvl>
    <w:lvl w:ilvl="1" w:tentative="0">
      <w:start w:val="1"/>
      <w:numFmt w:val="lowerLetter"/>
      <w:lvlText w:val="%2)"/>
      <w:lvlJc w:val="left"/>
      <w:pPr>
        <w:ind w:left="1265" w:hanging="420"/>
      </w:p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abstractNum w:abstractNumId="78">
    <w:nsid w:val="26F2480B"/>
    <w:multiLevelType w:val="multilevel"/>
    <w:tmpl w:val="26F2480B"/>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79">
    <w:nsid w:val="276682B0"/>
    <w:multiLevelType w:val="singleLevel"/>
    <w:tmpl w:val="276682B0"/>
    <w:lvl w:ilvl="0" w:tentative="0">
      <w:start w:val="1"/>
      <w:numFmt w:val="decimal"/>
      <w:lvlText w:val="%1)"/>
      <w:lvlJc w:val="left"/>
      <w:pPr>
        <w:ind w:left="425" w:hanging="425"/>
      </w:pPr>
      <w:rPr>
        <w:rFonts w:hint="default"/>
      </w:rPr>
    </w:lvl>
  </w:abstractNum>
  <w:abstractNum w:abstractNumId="80">
    <w:nsid w:val="27F21717"/>
    <w:multiLevelType w:val="multilevel"/>
    <w:tmpl w:val="27F21717"/>
    <w:lvl w:ilvl="0" w:tentative="0">
      <w:start w:val="1"/>
      <w:numFmt w:val="decimal"/>
      <w:lvlText w:val="%1"/>
      <w:lvlJc w:val="left"/>
      <w:pPr>
        <w:ind w:left="900" w:hanging="420"/>
      </w:pPr>
      <w:rPr>
        <w:rFonts w:hint="eastAsia"/>
        <w:b/>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81">
    <w:nsid w:val="281B5BD7"/>
    <w:multiLevelType w:val="multilevel"/>
    <w:tmpl w:val="281B5BD7"/>
    <w:lvl w:ilvl="0" w:tentative="0">
      <w:start w:val="1"/>
      <w:numFmt w:val="decimal"/>
      <w:lvlText w:val="1.0.%1"/>
      <w:lvlJc w:val="left"/>
      <w:pPr>
        <w:ind w:left="420" w:hanging="420"/>
      </w:pPr>
      <w:rPr>
        <w:rFonts w:hint="eastAsia" w:cs="Times New Roman"/>
        <w:b/>
        <w:sz w:val="24"/>
        <w:szCs w:val="24"/>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82">
    <w:nsid w:val="29D95407"/>
    <w:multiLevelType w:val="singleLevel"/>
    <w:tmpl w:val="29D95407"/>
    <w:lvl w:ilvl="0" w:tentative="0">
      <w:start w:val="1"/>
      <w:numFmt w:val="decimal"/>
      <w:lvlText w:val="%1)"/>
      <w:lvlJc w:val="left"/>
      <w:pPr>
        <w:ind w:left="425" w:hanging="425"/>
      </w:pPr>
      <w:rPr>
        <w:rFonts w:hint="default"/>
      </w:rPr>
    </w:lvl>
  </w:abstractNum>
  <w:abstractNum w:abstractNumId="83">
    <w:nsid w:val="29DF00DB"/>
    <w:multiLevelType w:val="multilevel"/>
    <w:tmpl w:val="29DF00DB"/>
    <w:lvl w:ilvl="0" w:tentative="0">
      <w:start w:val="1"/>
      <w:numFmt w:val="decimal"/>
      <w:lvlText w:val="%1"/>
      <w:lvlJc w:val="left"/>
      <w:pPr>
        <w:ind w:left="900" w:hanging="420"/>
      </w:pPr>
      <w:rPr>
        <w:rFonts w:hint="default" w:ascii="Times New Roman" w:hAnsi="Times New Roman" w:cs="Times New Roman"/>
        <w:b/>
        <w:bCs/>
        <w:color w:val="auto"/>
        <w:sz w:val="24"/>
        <w:szCs w:val="24"/>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84">
    <w:nsid w:val="29F66F2F"/>
    <w:multiLevelType w:val="multilevel"/>
    <w:tmpl w:val="29F66F2F"/>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85">
    <w:nsid w:val="2A607044"/>
    <w:multiLevelType w:val="multilevel"/>
    <w:tmpl w:val="2A607044"/>
    <w:lvl w:ilvl="0" w:tentative="0">
      <w:start w:val="1"/>
      <w:numFmt w:val="decimal"/>
      <w:lvlText w:val="%1"/>
      <w:lvlJc w:val="left"/>
      <w:pPr>
        <w:ind w:left="900" w:hanging="420"/>
      </w:pPr>
      <w:rPr>
        <w:rFonts w:hint="default"/>
        <w:b/>
        <w:bCs/>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86">
    <w:nsid w:val="2CAAABE5"/>
    <w:multiLevelType w:val="singleLevel"/>
    <w:tmpl w:val="2CAAABE5"/>
    <w:lvl w:ilvl="0" w:tentative="0">
      <w:start w:val="1"/>
      <w:numFmt w:val="decimal"/>
      <w:lvlText w:val="%1)"/>
      <w:lvlJc w:val="left"/>
      <w:pPr>
        <w:ind w:left="425" w:hanging="425"/>
      </w:pPr>
      <w:rPr>
        <w:rFonts w:hint="default"/>
      </w:rPr>
    </w:lvl>
  </w:abstractNum>
  <w:abstractNum w:abstractNumId="87">
    <w:nsid w:val="2CEADCC5"/>
    <w:multiLevelType w:val="singleLevel"/>
    <w:tmpl w:val="2CEADCC5"/>
    <w:lvl w:ilvl="0" w:tentative="0">
      <w:start w:val="1"/>
      <w:numFmt w:val="decimal"/>
      <w:lvlText w:val="%1)"/>
      <w:lvlJc w:val="left"/>
      <w:pPr>
        <w:ind w:left="425" w:hanging="425"/>
      </w:pPr>
      <w:rPr>
        <w:rFonts w:hint="default"/>
      </w:rPr>
    </w:lvl>
  </w:abstractNum>
  <w:abstractNum w:abstractNumId="88">
    <w:nsid w:val="2D7A1F1B"/>
    <w:multiLevelType w:val="singleLevel"/>
    <w:tmpl w:val="2D7A1F1B"/>
    <w:lvl w:ilvl="0" w:tentative="0">
      <w:start w:val="1"/>
      <w:numFmt w:val="decimal"/>
      <w:lvlText w:val="%1)"/>
      <w:lvlJc w:val="left"/>
      <w:pPr>
        <w:ind w:left="425" w:hanging="425"/>
      </w:pPr>
      <w:rPr>
        <w:rFonts w:hint="default"/>
      </w:rPr>
    </w:lvl>
  </w:abstractNum>
  <w:abstractNum w:abstractNumId="89">
    <w:nsid w:val="2E274788"/>
    <w:multiLevelType w:val="multilevel"/>
    <w:tmpl w:val="2E274788"/>
    <w:lvl w:ilvl="0" w:tentative="0">
      <w:start w:val="1"/>
      <w:numFmt w:val="decimal"/>
      <w:lvlText w:val="%1"/>
      <w:lvlJc w:val="left"/>
      <w:pPr>
        <w:ind w:left="900" w:hanging="420"/>
      </w:pPr>
      <w:rPr>
        <w:rFonts w:hint="eastAsia"/>
        <w:b/>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90">
    <w:nsid w:val="2E331E8F"/>
    <w:multiLevelType w:val="multilevel"/>
    <w:tmpl w:val="2E331E8F"/>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91">
    <w:nsid w:val="2E855CE4"/>
    <w:multiLevelType w:val="multilevel"/>
    <w:tmpl w:val="2E855CE4"/>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92">
    <w:nsid w:val="2F853BD5"/>
    <w:multiLevelType w:val="singleLevel"/>
    <w:tmpl w:val="2F853BD5"/>
    <w:lvl w:ilvl="0" w:tentative="0">
      <w:start w:val="1"/>
      <w:numFmt w:val="decimal"/>
      <w:lvlText w:val="%1)"/>
      <w:lvlJc w:val="left"/>
      <w:pPr>
        <w:ind w:left="425" w:hanging="425"/>
      </w:pPr>
      <w:rPr>
        <w:rFonts w:hint="default"/>
      </w:rPr>
    </w:lvl>
  </w:abstractNum>
  <w:abstractNum w:abstractNumId="93">
    <w:nsid w:val="2FF33903"/>
    <w:multiLevelType w:val="multilevel"/>
    <w:tmpl w:val="2FF33903"/>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94">
    <w:nsid w:val="3153704D"/>
    <w:multiLevelType w:val="multilevel"/>
    <w:tmpl w:val="3153704D"/>
    <w:lvl w:ilvl="0" w:tentative="0">
      <w:start w:val="1"/>
      <w:numFmt w:val="decimal"/>
      <w:lvlText w:val="2.0.%1"/>
      <w:lvlJc w:val="left"/>
      <w:pPr>
        <w:ind w:left="420" w:hanging="420"/>
      </w:pPr>
      <w:rPr>
        <w:rFonts w:hint="eastAsia" w:cs="Times New Roman"/>
        <w:b/>
        <w:sz w:val="24"/>
        <w:szCs w:val="24"/>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95">
    <w:nsid w:val="33E477A9"/>
    <w:multiLevelType w:val="multilevel"/>
    <w:tmpl w:val="33E477A9"/>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96">
    <w:nsid w:val="34572813"/>
    <w:multiLevelType w:val="singleLevel"/>
    <w:tmpl w:val="34572813"/>
    <w:lvl w:ilvl="0" w:tentative="0">
      <w:start w:val="1"/>
      <w:numFmt w:val="decimal"/>
      <w:lvlText w:val="%1)"/>
      <w:lvlJc w:val="left"/>
      <w:pPr>
        <w:ind w:left="425" w:hanging="425"/>
      </w:pPr>
      <w:rPr>
        <w:rFonts w:hint="default"/>
      </w:rPr>
    </w:lvl>
  </w:abstractNum>
  <w:abstractNum w:abstractNumId="97">
    <w:nsid w:val="345728AE"/>
    <w:multiLevelType w:val="multilevel"/>
    <w:tmpl w:val="345728AE"/>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98">
    <w:nsid w:val="34C063BB"/>
    <w:multiLevelType w:val="singleLevel"/>
    <w:tmpl w:val="34C063BB"/>
    <w:lvl w:ilvl="0" w:tentative="0">
      <w:start w:val="1"/>
      <w:numFmt w:val="decimal"/>
      <w:lvlText w:val="%1)"/>
      <w:lvlJc w:val="left"/>
      <w:pPr>
        <w:ind w:left="425" w:hanging="425"/>
      </w:pPr>
      <w:rPr>
        <w:rFonts w:hint="default"/>
      </w:rPr>
    </w:lvl>
  </w:abstractNum>
  <w:abstractNum w:abstractNumId="99">
    <w:nsid w:val="359D3F57"/>
    <w:multiLevelType w:val="singleLevel"/>
    <w:tmpl w:val="359D3F57"/>
    <w:lvl w:ilvl="0" w:tentative="0">
      <w:start w:val="1"/>
      <w:numFmt w:val="decimal"/>
      <w:lvlText w:val="%1)"/>
      <w:lvlJc w:val="left"/>
      <w:pPr>
        <w:ind w:left="425" w:hanging="425"/>
      </w:pPr>
      <w:rPr>
        <w:rFonts w:hint="default"/>
      </w:rPr>
    </w:lvl>
  </w:abstractNum>
  <w:abstractNum w:abstractNumId="100">
    <w:nsid w:val="368550F8"/>
    <w:multiLevelType w:val="multilevel"/>
    <w:tmpl w:val="368550F8"/>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01">
    <w:nsid w:val="3BBD1890"/>
    <w:multiLevelType w:val="singleLevel"/>
    <w:tmpl w:val="3BBD1890"/>
    <w:lvl w:ilvl="0" w:tentative="0">
      <w:start w:val="1"/>
      <w:numFmt w:val="decimal"/>
      <w:lvlText w:val="%1)"/>
      <w:lvlJc w:val="left"/>
      <w:pPr>
        <w:ind w:left="425" w:hanging="425"/>
      </w:pPr>
      <w:rPr>
        <w:rFonts w:hint="default"/>
      </w:rPr>
    </w:lvl>
  </w:abstractNum>
  <w:abstractNum w:abstractNumId="102">
    <w:nsid w:val="3C280D6E"/>
    <w:multiLevelType w:val="multilevel"/>
    <w:tmpl w:val="3C280D6E"/>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03">
    <w:nsid w:val="3C96099D"/>
    <w:multiLevelType w:val="multilevel"/>
    <w:tmpl w:val="3C96099D"/>
    <w:lvl w:ilvl="0" w:tentative="0">
      <w:start w:val="1"/>
      <w:numFmt w:val="decimal"/>
      <w:lvlText w:val="%1"/>
      <w:lvlJc w:val="left"/>
      <w:pPr>
        <w:ind w:left="900" w:hanging="420"/>
      </w:pPr>
      <w:rPr>
        <w:rFonts w:hint="eastAsia"/>
        <w:b/>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04">
    <w:nsid w:val="4184210F"/>
    <w:multiLevelType w:val="multilevel"/>
    <w:tmpl w:val="4184210F"/>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05">
    <w:nsid w:val="4204AF84"/>
    <w:multiLevelType w:val="singleLevel"/>
    <w:tmpl w:val="4204AF84"/>
    <w:lvl w:ilvl="0" w:tentative="0">
      <w:start w:val="1"/>
      <w:numFmt w:val="decimal"/>
      <w:lvlText w:val="%1)"/>
      <w:lvlJc w:val="left"/>
      <w:pPr>
        <w:ind w:left="425" w:hanging="425"/>
      </w:pPr>
      <w:rPr>
        <w:rFonts w:hint="default"/>
      </w:rPr>
    </w:lvl>
  </w:abstractNum>
  <w:abstractNum w:abstractNumId="106">
    <w:nsid w:val="44EA04FF"/>
    <w:multiLevelType w:val="multilevel"/>
    <w:tmpl w:val="44EA04FF"/>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07">
    <w:nsid w:val="45436F65"/>
    <w:multiLevelType w:val="multilevel"/>
    <w:tmpl w:val="45436F65"/>
    <w:lvl w:ilvl="0" w:tentative="0">
      <w:start w:val="1"/>
      <w:numFmt w:val="decimal"/>
      <w:pStyle w:val="5"/>
      <w:lvlText w:val="%1"/>
      <w:lvlJc w:val="left"/>
      <w:pPr>
        <w:ind w:left="0" w:firstLine="400"/>
      </w:pPr>
      <w:rPr>
        <w:rFonts w:hint="eastAsia"/>
        <w:b/>
      </w:rPr>
    </w:lvl>
    <w:lvl w:ilvl="1" w:tentative="0">
      <w:start w:val="1"/>
      <w:numFmt w:val="lowerLetter"/>
      <w:lvlText w:val="%2)"/>
      <w:lvlJc w:val="left"/>
      <w:pPr>
        <w:ind w:left="1040" w:hanging="420"/>
      </w:pPr>
    </w:lvl>
    <w:lvl w:ilvl="2" w:tentative="0">
      <w:start w:val="1"/>
      <w:numFmt w:val="lowerRoman"/>
      <w:lvlText w:val="%3."/>
      <w:lvlJc w:val="right"/>
      <w:pPr>
        <w:ind w:left="1460" w:hanging="420"/>
      </w:pPr>
    </w:lvl>
    <w:lvl w:ilvl="3" w:tentative="0">
      <w:start w:val="1"/>
      <w:numFmt w:val="decimal"/>
      <w:lvlText w:val="%4."/>
      <w:lvlJc w:val="left"/>
      <w:pPr>
        <w:ind w:left="1880" w:hanging="420"/>
      </w:pPr>
    </w:lvl>
    <w:lvl w:ilvl="4" w:tentative="0">
      <w:start w:val="1"/>
      <w:numFmt w:val="lowerLetter"/>
      <w:lvlText w:val="%5)"/>
      <w:lvlJc w:val="left"/>
      <w:pPr>
        <w:ind w:left="2300" w:hanging="420"/>
      </w:pPr>
    </w:lvl>
    <w:lvl w:ilvl="5" w:tentative="0">
      <w:start w:val="1"/>
      <w:numFmt w:val="lowerRoman"/>
      <w:lvlText w:val="%6."/>
      <w:lvlJc w:val="right"/>
      <w:pPr>
        <w:ind w:left="2720" w:hanging="420"/>
      </w:pPr>
    </w:lvl>
    <w:lvl w:ilvl="6" w:tentative="0">
      <w:start w:val="1"/>
      <w:numFmt w:val="decimal"/>
      <w:lvlText w:val="%7."/>
      <w:lvlJc w:val="left"/>
      <w:pPr>
        <w:ind w:left="3140" w:hanging="420"/>
      </w:pPr>
    </w:lvl>
    <w:lvl w:ilvl="7" w:tentative="0">
      <w:start w:val="1"/>
      <w:numFmt w:val="lowerLetter"/>
      <w:lvlText w:val="%8)"/>
      <w:lvlJc w:val="left"/>
      <w:pPr>
        <w:ind w:left="3560" w:hanging="420"/>
      </w:pPr>
    </w:lvl>
    <w:lvl w:ilvl="8" w:tentative="0">
      <w:start w:val="1"/>
      <w:numFmt w:val="lowerRoman"/>
      <w:lvlText w:val="%9."/>
      <w:lvlJc w:val="right"/>
      <w:pPr>
        <w:ind w:left="3980" w:hanging="420"/>
      </w:pPr>
    </w:lvl>
  </w:abstractNum>
  <w:abstractNum w:abstractNumId="108">
    <w:nsid w:val="481C88FD"/>
    <w:multiLevelType w:val="singleLevel"/>
    <w:tmpl w:val="481C88FD"/>
    <w:lvl w:ilvl="0" w:tentative="0">
      <w:start w:val="1"/>
      <w:numFmt w:val="decimal"/>
      <w:lvlText w:val="%1)"/>
      <w:lvlJc w:val="left"/>
      <w:pPr>
        <w:ind w:left="425" w:hanging="425"/>
      </w:pPr>
      <w:rPr>
        <w:rFonts w:hint="default"/>
      </w:rPr>
    </w:lvl>
  </w:abstractNum>
  <w:abstractNum w:abstractNumId="109">
    <w:nsid w:val="482C7F01"/>
    <w:multiLevelType w:val="multilevel"/>
    <w:tmpl w:val="482C7F01"/>
    <w:lvl w:ilvl="0" w:tentative="0">
      <w:start w:val="1"/>
      <w:numFmt w:val="decimal"/>
      <w:lvlText w:val="%1"/>
      <w:lvlJc w:val="left"/>
      <w:pPr>
        <w:ind w:left="900" w:hanging="420"/>
      </w:pPr>
      <w:rPr>
        <w:rFonts w:hint="eastAsia"/>
        <w:b/>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10">
    <w:nsid w:val="4AE7576B"/>
    <w:multiLevelType w:val="multilevel"/>
    <w:tmpl w:val="4AE7576B"/>
    <w:lvl w:ilvl="0" w:tentative="0">
      <w:start w:val="1"/>
      <w:numFmt w:val="decimal"/>
      <w:lvlText w:val="%1"/>
      <w:lvlJc w:val="left"/>
      <w:pPr>
        <w:ind w:left="900" w:hanging="420"/>
      </w:pPr>
      <w:rPr>
        <w:rFonts w:hint="eastAsia"/>
        <w:b/>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11">
    <w:nsid w:val="4B623022"/>
    <w:multiLevelType w:val="multilevel"/>
    <w:tmpl w:val="4B623022"/>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12">
    <w:nsid w:val="4CA64DC3"/>
    <w:multiLevelType w:val="multilevel"/>
    <w:tmpl w:val="4CA64DC3"/>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13">
    <w:nsid w:val="4E8348B7"/>
    <w:multiLevelType w:val="multilevel"/>
    <w:tmpl w:val="4E8348B7"/>
    <w:lvl w:ilvl="0" w:tentative="0">
      <w:start w:val="1"/>
      <w:numFmt w:val="decimal"/>
      <w:lvlText w:val="%1"/>
      <w:lvlJc w:val="left"/>
      <w:pPr>
        <w:ind w:left="900" w:hanging="420"/>
      </w:pPr>
      <w:rPr>
        <w:rFonts w:hint="eastAsia"/>
        <w:b/>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14">
    <w:nsid w:val="4F74586D"/>
    <w:multiLevelType w:val="multilevel"/>
    <w:tmpl w:val="4F74586D"/>
    <w:lvl w:ilvl="0" w:tentative="0">
      <w:start w:val="1"/>
      <w:numFmt w:val="decimal"/>
      <w:lvlText w:val="%1"/>
      <w:lvlJc w:val="left"/>
      <w:pPr>
        <w:ind w:left="900" w:hanging="420"/>
      </w:pPr>
      <w:rPr>
        <w:rFonts w:hint="eastAsia"/>
        <w:b/>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15">
    <w:nsid w:val="50772C36"/>
    <w:multiLevelType w:val="multilevel"/>
    <w:tmpl w:val="50772C36"/>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16">
    <w:nsid w:val="50906A0E"/>
    <w:multiLevelType w:val="multilevel"/>
    <w:tmpl w:val="50906A0E"/>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17">
    <w:nsid w:val="510165FC"/>
    <w:multiLevelType w:val="multilevel"/>
    <w:tmpl w:val="510165FC"/>
    <w:lvl w:ilvl="0" w:tentative="0">
      <w:start w:val="1"/>
      <w:numFmt w:val="decimal"/>
      <w:lvlText w:val="%1"/>
      <w:lvlJc w:val="left"/>
      <w:pPr>
        <w:ind w:left="900" w:hanging="420"/>
      </w:pPr>
      <w:rPr>
        <w:rFonts w:hint="eastAsia"/>
        <w:b/>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18">
    <w:nsid w:val="511726B1"/>
    <w:multiLevelType w:val="multilevel"/>
    <w:tmpl w:val="511726B1"/>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19">
    <w:nsid w:val="512A6E6E"/>
    <w:multiLevelType w:val="multilevel"/>
    <w:tmpl w:val="512A6E6E"/>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20">
    <w:nsid w:val="512D748D"/>
    <w:multiLevelType w:val="multilevel"/>
    <w:tmpl w:val="512D748D"/>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21">
    <w:nsid w:val="53052BF0"/>
    <w:multiLevelType w:val="multilevel"/>
    <w:tmpl w:val="53052BF0"/>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22">
    <w:nsid w:val="56C928B8"/>
    <w:multiLevelType w:val="multilevel"/>
    <w:tmpl w:val="56C928B8"/>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23">
    <w:nsid w:val="577F7B3C"/>
    <w:multiLevelType w:val="multilevel"/>
    <w:tmpl w:val="577F7B3C"/>
    <w:lvl w:ilvl="0" w:tentative="0">
      <w:start w:val="1"/>
      <w:numFmt w:val="decimal"/>
      <w:lvlText w:val="（%1）"/>
      <w:lvlJc w:val="left"/>
      <w:pPr>
        <w:ind w:left="900" w:hanging="4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24">
    <w:nsid w:val="58D51A95"/>
    <w:multiLevelType w:val="multilevel"/>
    <w:tmpl w:val="58D51A95"/>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25">
    <w:nsid w:val="59E27669"/>
    <w:multiLevelType w:val="multilevel"/>
    <w:tmpl w:val="59E27669"/>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26">
    <w:nsid w:val="5AB59954"/>
    <w:multiLevelType w:val="singleLevel"/>
    <w:tmpl w:val="5AB59954"/>
    <w:lvl w:ilvl="0" w:tentative="0">
      <w:start w:val="1"/>
      <w:numFmt w:val="decimal"/>
      <w:lvlText w:val="%1)"/>
      <w:lvlJc w:val="left"/>
      <w:pPr>
        <w:ind w:left="425" w:hanging="425"/>
      </w:pPr>
      <w:rPr>
        <w:rFonts w:hint="default"/>
      </w:rPr>
    </w:lvl>
  </w:abstractNum>
  <w:abstractNum w:abstractNumId="127">
    <w:nsid w:val="5B523132"/>
    <w:multiLevelType w:val="multilevel"/>
    <w:tmpl w:val="5B523132"/>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28">
    <w:nsid w:val="5CDD61CC"/>
    <w:multiLevelType w:val="multilevel"/>
    <w:tmpl w:val="5CDD61CC"/>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29">
    <w:nsid w:val="5E5108AE"/>
    <w:multiLevelType w:val="multilevel"/>
    <w:tmpl w:val="5E5108AE"/>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30">
    <w:nsid w:val="5E72AEC7"/>
    <w:multiLevelType w:val="singleLevel"/>
    <w:tmpl w:val="5E72AEC7"/>
    <w:lvl w:ilvl="0" w:tentative="0">
      <w:start w:val="1"/>
      <w:numFmt w:val="decimal"/>
      <w:lvlText w:val="%1)"/>
      <w:lvlJc w:val="left"/>
      <w:pPr>
        <w:ind w:left="425" w:hanging="425"/>
      </w:pPr>
      <w:rPr>
        <w:rFonts w:hint="default"/>
      </w:rPr>
    </w:lvl>
  </w:abstractNum>
  <w:abstractNum w:abstractNumId="131">
    <w:nsid w:val="5FF90E1D"/>
    <w:multiLevelType w:val="multilevel"/>
    <w:tmpl w:val="5FF90E1D"/>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32">
    <w:nsid w:val="605850F1"/>
    <w:multiLevelType w:val="multilevel"/>
    <w:tmpl w:val="605850F1"/>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33">
    <w:nsid w:val="61025F0D"/>
    <w:multiLevelType w:val="multilevel"/>
    <w:tmpl w:val="61025F0D"/>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34">
    <w:nsid w:val="616C7B19"/>
    <w:multiLevelType w:val="singleLevel"/>
    <w:tmpl w:val="616C7B19"/>
    <w:lvl w:ilvl="0" w:tentative="0">
      <w:start w:val="1"/>
      <w:numFmt w:val="decimal"/>
      <w:lvlText w:val="%1)"/>
      <w:lvlJc w:val="left"/>
      <w:pPr>
        <w:ind w:left="425" w:hanging="425"/>
      </w:pPr>
      <w:rPr>
        <w:rFonts w:hint="default"/>
      </w:rPr>
    </w:lvl>
  </w:abstractNum>
  <w:abstractNum w:abstractNumId="135">
    <w:nsid w:val="626B6E38"/>
    <w:multiLevelType w:val="multilevel"/>
    <w:tmpl w:val="626B6E38"/>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36">
    <w:nsid w:val="62D141CD"/>
    <w:multiLevelType w:val="multilevel"/>
    <w:tmpl w:val="62D141CD"/>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37">
    <w:nsid w:val="634CF0F7"/>
    <w:multiLevelType w:val="singleLevel"/>
    <w:tmpl w:val="634CF0F7"/>
    <w:lvl w:ilvl="0" w:tentative="0">
      <w:start w:val="1"/>
      <w:numFmt w:val="decimal"/>
      <w:lvlText w:val="%1)"/>
      <w:lvlJc w:val="left"/>
      <w:pPr>
        <w:ind w:left="425" w:hanging="425"/>
      </w:pPr>
      <w:rPr>
        <w:rFonts w:hint="default"/>
      </w:rPr>
    </w:lvl>
  </w:abstractNum>
  <w:abstractNum w:abstractNumId="138">
    <w:nsid w:val="641125CE"/>
    <w:multiLevelType w:val="multilevel"/>
    <w:tmpl w:val="641125CE"/>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39">
    <w:nsid w:val="6550767F"/>
    <w:multiLevelType w:val="multilevel"/>
    <w:tmpl w:val="6550767F"/>
    <w:lvl w:ilvl="0" w:tentative="0">
      <w:start w:val="1"/>
      <w:numFmt w:val="decimal"/>
      <w:lvlText w:val="%1"/>
      <w:lvlJc w:val="left"/>
      <w:pPr>
        <w:ind w:left="840" w:hanging="360"/>
      </w:pPr>
      <w:rPr>
        <w:rFonts w:hint="default" w:ascii="Times New Roman" w:hAnsi="Times New Roman" w:cs="Times New Roman"/>
        <w:b/>
        <w:bCs/>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40">
    <w:nsid w:val="658F5C65"/>
    <w:multiLevelType w:val="multilevel"/>
    <w:tmpl w:val="658F5C65"/>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41">
    <w:nsid w:val="6715B5F9"/>
    <w:multiLevelType w:val="singleLevel"/>
    <w:tmpl w:val="6715B5F9"/>
    <w:lvl w:ilvl="0" w:tentative="0">
      <w:start w:val="1"/>
      <w:numFmt w:val="decimal"/>
      <w:lvlText w:val="%1)"/>
      <w:lvlJc w:val="left"/>
      <w:pPr>
        <w:ind w:left="425" w:hanging="425"/>
      </w:pPr>
      <w:rPr>
        <w:rFonts w:hint="default"/>
      </w:rPr>
    </w:lvl>
  </w:abstractNum>
  <w:abstractNum w:abstractNumId="142">
    <w:nsid w:val="6816DB57"/>
    <w:multiLevelType w:val="singleLevel"/>
    <w:tmpl w:val="6816DB57"/>
    <w:lvl w:ilvl="0" w:tentative="0">
      <w:start w:val="1"/>
      <w:numFmt w:val="decimal"/>
      <w:lvlText w:val="%1)"/>
      <w:lvlJc w:val="left"/>
      <w:pPr>
        <w:ind w:left="425" w:hanging="425"/>
      </w:pPr>
      <w:rPr>
        <w:rFonts w:hint="default"/>
      </w:rPr>
    </w:lvl>
  </w:abstractNum>
  <w:abstractNum w:abstractNumId="143">
    <w:nsid w:val="68751722"/>
    <w:multiLevelType w:val="multilevel"/>
    <w:tmpl w:val="68751722"/>
    <w:lvl w:ilvl="0" w:tentative="0">
      <w:start w:val="1"/>
      <w:numFmt w:val="decimal"/>
      <w:lvlText w:val="%1"/>
      <w:lvlJc w:val="left"/>
      <w:pPr>
        <w:ind w:left="900" w:hanging="420"/>
      </w:pPr>
      <w:rPr>
        <w:rFonts w:hint="eastAsia"/>
        <w:b/>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44">
    <w:nsid w:val="69A40FC9"/>
    <w:multiLevelType w:val="multilevel"/>
    <w:tmpl w:val="69A40FC9"/>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45">
    <w:nsid w:val="6AF52EE8"/>
    <w:multiLevelType w:val="singleLevel"/>
    <w:tmpl w:val="6AF52EE8"/>
    <w:lvl w:ilvl="0" w:tentative="0">
      <w:start w:val="1"/>
      <w:numFmt w:val="decimal"/>
      <w:lvlText w:val="%1)"/>
      <w:lvlJc w:val="left"/>
      <w:pPr>
        <w:ind w:left="425" w:hanging="425"/>
      </w:pPr>
      <w:rPr>
        <w:rFonts w:hint="default"/>
      </w:rPr>
    </w:lvl>
  </w:abstractNum>
  <w:abstractNum w:abstractNumId="146">
    <w:nsid w:val="6BA96EF3"/>
    <w:multiLevelType w:val="multilevel"/>
    <w:tmpl w:val="6BA96EF3"/>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47">
    <w:nsid w:val="6D9F4454"/>
    <w:multiLevelType w:val="multilevel"/>
    <w:tmpl w:val="6D9F4454"/>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48">
    <w:nsid w:val="6E102F5F"/>
    <w:multiLevelType w:val="multilevel"/>
    <w:tmpl w:val="6E102F5F"/>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49">
    <w:nsid w:val="6E767FD0"/>
    <w:multiLevelType w:val="multilevel"/>
    <w:tmpl w:val="6E767FD0"/>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50">
    <w:nsid w:val="6F0137CB"/>
    <w:multiLevelType w:val="multilevel"/>
    <w:tmpl w:val="6F0137CB"/>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51">
    <w:nsid w:val="70D44E66"/>
    <w:multiLevelType w:val="singleLevel"/>
    <w:tmpl w:val="70D44E66"/>
    <w:lvl w:ilvl="0" w:tentative="0">
      <w:start w:val="1"/>
      <w:numFmt w:val="decimal"/>
      <w:lvlText w:val="%1)"/>
      <w:lvlJc w:val="left"/>
      <w:pPr>
        <w:ind w:left="425" w:hanging="425"/>
      </w:pPr>
      <w:rPr>
        <w:rFonts w:hint="default"/>
      </w:rPr>
    </w:lvl>
  </w:abstractNum>
  <w:abstractNum w:abstractNumId="152">
    <w:nsid w:val="717B8048"/>
    <w:multiLevelType w:val="singleLevel"/>
    <w:tmpl w:val="717B8048"/>
    <w:lvl w:ilvl="0" w:tentative="0">
      <w:start w:val="1"/>
      <w:numFmt w:val="decimal"/>
      <w:lvlText w:val="%1)"/>
      <w:lvlJc w:val="left"/>
      <w:pPr>
        <w:ind w:left="425" w:hanging="425"/>
      </w:pPr>
      <w:rPr>
        <w:rFonts w:hint="default"/>
      </w:rPr>
    </w:lvl>
  </w:abstractNum>
  <w:abstractNum w:abstractNumId="153">
    <w:nsid w:val="71A0688A"/>
    <w:multiLevelType w:val="multilevel"/>
    <w:tmpl w:val="71A0688A"/>
    <w:lvl w:ilvl="0" w:tentative="0">
      <w:start w:val="1"/>
      <w:numFmt w:val="decimal"/>
      <w:lvlText w:val="%1"/>
      <w:lvlJc w:val="left"/>
      <w:pPr>
        <w:ind w:left="900" w:hanging="420"/>
      </w:pPr>
      <w:rPr>
        <w:rFonts w:hint="eastAsia"/>
        <w:b/>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54">
    <w:nsid w:val="778575F0"/>
    <w:multiLevelType w:val="multilevel"/>
    <w:tmpl w:val="778575F0"/>
    <w:lvl w:ilvl="0" w:tentative="0">
      <w:start w:val="1"/>
      <w:numFmt w:val="decimal"/>
      <w:lvlText w:val="%1"/>
      <w:lvlJc w:val="left"/>
      <w:pPr>
        <w:ind w:left="900" w:hanging="420"/>
      </w:pPr>
      <w:rPr>
        <w:rFonts w:hint="eastAsia"/>
        <w:b/>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55">
    <w:nsid w:val="77A264B7"/>
    <w:multiLevelType w:val="multilevel"/>
    <w:tmpl w:val="77A264B7"/>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56">
    <w:nsid w:val="78676024"/>
    <w:multiLevelType w:val="multilevel"/>
    <w:tmpl w:val="78676024"/>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57">
    <w:nsid w:val="7917AE60"/>
    <w:multiLevelType w:val="singleLevel"/>
    <w:tmpl w:val="7917AE60"/>
    <w:lvl w:ilvl="0" w:tentative="0">
      <w:start w:val="1"/>
      <w:numFmt w:val="decimal"/>
      <w:lvlText w:val="%1)"/>
      <w:lvlJc w:val="left"/>
      <w:pPr>
        <w:ind w:left="425" w:hanging="425"/>
      </w:pPr>
      <w:rPr>
        <w:rFonts w:hint="default"/>
      </w:rPr>
    </w:lvl>
  </w:abstractNum>
  <w:abstractNum w:abstractNumId="158">
    <w:nsid w:val="79DB2204"/>
    <w:multiLevelType w:val="multilevel"/>
    <w:tmpl w:val="79DB2204"/>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59">
    <w:nsid w:val="7BCD407D"/>
    <w:multiLevelType w:val="multilevel"/>
    <w:tmpl w:val="7BCD407D"/>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60">
    <w:nsid w:val="7BFE982C"/>
    <w:multiLevelType w:val="singleLevel"/>
    <w:tmpl w:val="7BFE982C"/>
    <w:lvl w:ilvl="0" w:tentative="0">
      <w:start w:val="1"/>
      <w:numFmt w:val="decimal"/>
      <w:lvlText w:val="%1)"/>
      <w:lvlJc w:val="left"/>
      <w:pPr>
        <w:ind w:left="425" w:hanging="425"/>
      </w:pPr>
      <w:rPr>
        <w:rFonts w:hint="default"/>
      </w:rPr>
    </w:lvl>
  </w:abstractNum>
  <w:abstractNum w:abstractNumId="161">
    <w:nsid w:val="7C064052"/>
    <w:multiLevelType w:val="multilevel"/>
    <w:tmpl w:val="7C064052"/>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62">
    <w:nsid w:val="7CB45772"/>
    <w:multiLevelType w:val="multilevel"/>
    <w:tmpl w:val="7CB45772"/>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63">
    <w:nsid w:val="7EAE72B6"/>
    <w:multiLevelType w:val="multilevel"/>
    <w:tmpl w:val="7EAE72B6"/>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64">
    <w:nsid w:val="7EDCE5A9"/>
    <w:multiLevelType w:val="singleLevel"/>
    <w:tmpl w:val="7EDCE5A9"/>
    <w:lvl w:ilvl="0" w:tentative="0">
      <w:start w:val="1"/>
      <w:numFmt w:val="decimal"/>
      <w:lvlText w:val="%1)"/>
      <w:lvlJc w:val="left"/>
      <w:pPr>
        <w:ind w:left="425" w:hanging="425"/>
      </w:pPr>
      <w:rPr>
        <w:rFonts w:hint="default"/>
      </w:rPr>
    </w:lvl>
  </w:abstractNum>
  <w:abstractNum w:abstractNumId="165">
    <w:nsid w:val="7EF67531"/>
    <w:multiLevelType w:val="multilevel"/>
    <w:tmpl w:val="7EF67531"/>
    <w:lvl w:ilvl="0" w:tentative="0">
      <w:start w:val="1"/>
      <w:numFmt w:val="decimal"/>
      <w:lvlText w:val="%1"/>
      <w:lvlJc w:val="left"/>
      <w:pPr>
        <w:ind w:left="900" w:hanging="420"/>
      </w:pPr>
      <w:rPr>
        <w:rFonts w:hint="default" w:ascii="Times New Roman" w:hAnsi="Times New Roman" w:cs="Times New Roman"/>
        <w:b/>
        <w:bCs/>
        <w:color w:val="auto"/>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107"/>
  </w:num>
  <w:num w:numId="2">
    <w:abstractNumId w:val="81"/>
  </w:num>
  <w:num w:numId="3">
    <w:abstractNumId w:val="94"/>
  </w:num>
  <w:num w:numId="4">
    <w:abstractNumId w:val="89"/>
  </w:num>
  <w:num w:numId="5">
    <w:abstractNumId w:val="113"/>
  </w:num>
  <w:num w:numId="6">
    <w:abstractNumId w:val="143"/>
  </w:num>
  <w:num w:numId="7">
    <w:abstractNumId w:val="30"/>
  </w:num>
  <w:num w:numId="8">
    <w:abstractNumId w:val="154"/>
  </w:num>
  <w:num w:numId="9">
    <w:abstractNumId w:val="51"/>
  </w:num>
  <w:num w:numId="10">
    <w:abstractNumId w:val="80"/>
  </w:num>
  <w:num w:numId="11">
    <w:abstractNumId w:val="110"/>
  </w:num>
  <w:num w:numId="12">
    <w:abstractNumId w:val="46"/>
  </w:num>
  <w:num w:numId="13">
    <w:abstractNumId w:val="42"/>
  </w:num>
  <w:num w:numId="14">
    <w:abstractNumId w:val="114"/>
  </w:num>
  <w:num w:numId="15">
    <w:abstractNumId w:val="103"/>
  </w:num>
  <w:num w:numId="16">
    <w:abstractNumId w:val="109"/>
  </w:num>
  <w:num w:numId="17">
    <w:abstractNumId w:val="40"/>
  </w:num>
  <w:num w:numId="18">
    <w:abstractNumId w:val="153"/>
  </w:num>
  <w:num w:numId="19">
    <w:abstractNumId w:val="117"/>
  </w:num>
  <w:num w:numId="20">
    <w:abstractNumId w:val="52"/>
  </w:num>
  <w:num w:numId="21">
    <w:abstractNumId w:val="41"/>
  </w:num>
  <w:num w:numId="22">
    <w:abstractNumId w:val="86"/>
  </w:num>
  <w:num w:numId="23">
    <w:abstractNumId w:val="63"/>
  </w:num>
  <w:num w:numId="24">
    <w:abstractNumId w:val="70"/>
  </w:num>
  <w:num w:numId="25">
    <w:abstractNumId w:val="97"/>
  </w:num>
  <w:num w:numId="26">
    <w:abstractNumId w:val="105"/>
  </w:num>
  <w:num w:numId="27">
    <w:abstractNumId w:val="135"/>
  </w:num>
  <w:num w:numId="28">
    <w:abstractNumId w:val="25"/>
  </w:num>
  <w:num w:numId="29">
    <w:abstractNumId w:val="111"/>
  </w:num>
  <w:num w:numId="30">
    <w:abstractNumId w:val="55"/>
  </w:num>
  <w:num w:numId="31">
    <w:abstractNumId w:val="122"/>
  </w:num>
  <w:num w:numId="32">
    <w:abstractNumId w:val="22"/>
  </w:num>
  <w:num w:numId="33">
    <w:abstractNumId w:val="112"/>
  </w:num>
  <w:num w:numId="34">
    <w:abstractNumId w:val="92"/>
  </w:num>
  <w:num w:numId="35">
    <w:abstractNumId w:val="146"/>
  </w:num>
  <w:num w:numId="36">
    <w:abstractNumId w:val="20"/>
  </w:num>
  <w:num w:numId="37">
    <w:abstractNumId w:val="75"/>
  </w:num>
  <w:num w:numId="38">
    <w:abstractNumId w:val="56"/>
  </w:num>
  <w:num w:numId="39">
    <w:abstractNumId w:val="104"/>
  </w:num>
  <w:num w:numId="40">
    <w:abstractNumId w:val="9"/>
  </w:num>
  <w:num w:numId="41">
    <w:abstractNumId w:val="73"/>
  </w:num>
  <w:num w:numId="42">
    <w:abstractNumId w:val="15"/>
  </w:num>
  <w:num w:numId="43">
    <w:abstractNumId w:val="102"/>
  </w:num>
  <w:num w:numId="44">
    <w:abstractNumId w:val="137"/>
  </w:num>
  <w:num w:numId="45">
    <w:abstractNumId w:val="84"/>
  </w:num>
  <w:num w:numId="46">
    <w:abstractNumId w:val="45"/>
  </w:num>
  <w:num w:numId="47">
    <w:abstractNumId w:val="48"/>
  </w:num>
  <w:num w:numId="48">
    <w:abstractNumId w:val="161"/>
  </w:num>
  <w:num w:numId="49">
    <w:abstractNumId w:val="145"/>
  </w:num>
  <w:num w:numId="50">
    <w:abstractNumId w:val="147"/>
  </w:num>
  <w:num w:numId="51">
    <w:abstractNumId w:val="10"/>
  </w:num>
  <w:num w:numId="52">
    <w:abstractNumId w:val="150"/>
  </w:num>
  <w:num w:numId="53">
    <w:abstractNumId w:val="157"/>
  </w:num>
  <w:num w:numId="54">
    <w:abstractNumId w:val="138"/>
  </w:num>
  <w:num w:numId="55">
    <w:abstractNumId w:val="14"/>
  </w:num>
  <w:num w:numId="56">
    <w:abstractNumId w:val="131"/>
  </w:num>
  <w:num w:numId="57">
    <w:abstractNumId w:val="16"/>
  </w:num>
  <w:num w:numId="58">
    <w:abstractNumId w:val="144"/>
  </w:num>
  <w:num w:numId="59">
    <w:abstractNumId w:val="152"/>
  </w:num>
  <w:num w:numId="60">
    <w:abstractNumId w:val="83"/>
  </w:num>
  <w:num w:numId="61">
    <w:abstractNumId w:val="8"/>
  </w:num>
  <w:num w:numId="62">
    <w:abstractNumId w:val="162"/>
  </w:num>
  <w:num w:numId="63">
    <w:abstractNumId w:val="27"/>
  </w:num>
  <w:num w:numId="64">
    <w:abstractNumId w:val="121"/>
  </w:num>
  <w:num w:numId="65">
    <w:abstractNumId w:val="3"/>
  </w:num>
  <w:num w:numId="66">
    <w:abstractNumId w:val="124"/>
  </w:num>
  <w:num w:numId="67">
    <w:abstractNumId w:val="34"/>
  </w:num>
  <w:num w:numId="68">
    <w:abstractNumId w:val="120"/>
  </w:num>
  <w:num w:numId="69">
    <w:abstractNumId w:val="87"/>
  </w:num>
  <w:num w:numId="70">
    <w:abstractNumId w:val="149"/>
  </w:num>
  <w:num w:numId="71">
    <w:abstractNumId w:val="49"/>
  </w:num>
  <w:num w:numId="72">
    <w:abstractNumId w:val="156"/>
  </w:num>
  <w:num w:numId="73">
    <w:abstractNumId w:val="7"/>
  </w:num>
  <w:num w:numId="74">
    <w:abstractNumId w:val="68"/>
  </w:num>
  <w:num w:numId="75">
    <w:abstractNumId w:val="6"/>
  </w:num>
  <w:num w:numId="76">
    <w:abstractNumId w:val="127"/>
  </w:num>
  <w:num w:numId="77">
    <w:abstractNumId w:val="141"/>
  </w:num>
  <w:num w:numId="78">
    <w:abstractNumId w:val="165"/>
  </w:num>
  <w:num w:numId="79">
    <w:abstractNumId w:val="71"/>
  </w:num>
  <w:num w:numId="80">
    <w:abstractNumId w:val="136"/>
  </w:num>
  <w:num w:numId="81">
    <w:abstractNumId w:val="151"/>
  </w:num>
  <w:num w:numId="82">
    <w:abstractNumId w:val="69"/>
  </w:num>
  <w:num w:numId="83">
    <w:abstractNumId w:val="164"/>
  </w:num>
  <w:num w:numId="84">
    <w:abstractNumId w:val="129"/>
  </w:num>
  <w:num w:numId="85">
    <w:abstractNumId w:val="88"/>
  </w:num>
  <w:num w:numId="86">
    <w:abstractNumId w:val="90"/>
  </w:num>
  <w:num w:numId="87">
    <w:abstractNumId w:val="5"/>
  </w:num>
  <w:num w:numId="88">
    <w:abstractNumId w:val="116"/>
  </w:num>
  <w:num w:numId="89">
    <w:abstractNumId w:val="0"/>
  </w:num>
  <w:num w:numId="90">
    <w:abstractNumId w:val="54"/>
  </w:num>
  <w:num w:numId="91">
    <w:abstractNumId w:val="29"/>
  </w:num>
  <w:num w:numId="92">
    <w:abstractNumId w:val="155"/>
  </w:num>
  <w:num w:numId="93">
    <w:abstractNumId w:val="17"/>
  </w:num>
  <w:num w:numId="94">
    <w:abstractNumId w:val="72"/>
  </w:num>
  <w:num w:numId="95">
    <w:abstractNumId w:val="12"/>
  </w:num>
  <w:num w:numId="96">
    <w:abstractNumId w:val="33"/>
  </w:num>
  <w:num w:numId="97">
    <w:abstractNumId w:val="130"/>
  </w:num>
  <w:num w:numId="98">
    <w:abstractNumId w:val="100"/>
  </w:num>
  <w:num w:numId="99">
    <w:abstractNumId w:val="36"/>
  </w:num>
  <w:num w:numId="100">
    <w:abstractNumId w:val="125"/>
  </w:num>
  <w:num w:numId="101">
    <w:abstractNumId w:val="60"/>
  </w:num>
  <w:num w:numId="102">
    <w:abstractNumId w:val="26"/>
  </w:num>
  <w:num w:numId="103">
    <w:abstractNumId w:val="32"/>
  </w:num>
  <w:num w:numId="104">
    <w:abstractNumId w:val="2"/>
  </w:num>
  <w:num w:numId="105">
    <w:abstractNumId w:val="99"/>
  </w:num>
  <w:num w:numId="106">
    <w:abstractNumId w:val="66"/>
  </w:num>
  <w:num w:numId="107">
    <w:abstractNumId w:val="98"/>
  </w:num>
  <w:num w:numId="108">
    <w:abstractNumId w:val="43"/>
  </w:num>
  <w:num w:numId="109">
    <w:abstractNumId w:val="23"/>
  </w:num>
  <w:num w:numId="110">
    <w:abstractNumId w:val="140"/>
  </w:num>
  <w:num w:numId="111">
    <w:abstractNumId w:val="37"/>
  </w:num>
  <w:num w:numId="112">
    <w:abstractNumId w:val="62"/>
  </w:num>
  <w:num w:numId="113">
    <w:abstractNumId w:val="160"/>
  </w:num>
  <w:num w:numId="114">
    <w:abstractNumId w:val="57"/>
  </w:num>
  <w:num w:numId="115">
    <w:abstractNumId w:val="38"/>
  </w:num>
  <w:num w:numId="116">
    <w:abstractNumId w:val="78"/>
  </w:num>
  <w:num w:numId="117">
    <w:abstractNumId w:val="53"/>
  </w:num>
  <w:num w:numId="118">
    <w:abstractNumId w:val="65"/>
  </w:num>
  <w:num w:numId="119">
    <w:abstractNumId w:val="79"/>
  </w:num>
  <w:num w:numId="120">
    <w:abstractNumId w:val="11"/>
  </w:num>
  <w:num w:numId="121">
    <w:abstractNumId w:val="28"/>
  </w:num>
  <w:num w:numId="122">
    <w:abstractNumId w:val="61"/>
  </w:num>
  <w:num w:numId="123">
    <w:abstractNumId w:val="134"/>
  </w:num>
  <w:num w:numId="124">
    <w:abstractNumId w:val="128"/>
  </w:num>
  <w:num w:numId="125">
    <w:abstractNumId w:val="64"/>
  </w:num>
  <w:num w:numId="126">
    <w:abstractNumId w:val="115"/>
  </w:num>
  <w:num w:numId="127">
    <w:abstractNumId w:val="118"/>
  </w:num>
  <w:num w:numId="128">
    <w:abstractNumId w:val="24"/>
  </w:num>
  <w:num w:numId="129">
    <w:abstractNumId w:val="133"/>
  </w:num>
  <w:num w:numId="130">
    <w:abstractNumId w:val="21"/>
  </w:num>
  <w:num w:numId="131">
    <w:abstractNumId w:val="163"/>
  </w:num>
  <w:num w:numId="132">
    <w:abstractNumId w:val="74"/>
  </w:num>
  <w:num w:numId="133">
    <w:abstractNumId w:val="158"/>
  </w:num>
  <w:num w:numId="134">
    <w:abstractNumId w:val="126"/>
  </w:num>
  <w:num w:numId="135">
    <w:abstractNumId w:val="44"/>
  </w:num>
  <w:num w:numId="136">
    <w:abstractNumId w:val="82"/>
  </w:num>
  <w:num w:numId="137">
    <w:abstractNumId w:val="31"/>
  </w:num>
  <w:num w:numId="138">
    <w:abstractNumId w:val="35"/>
  </w:num>
  <w:num w:numId="139">
    <w:abstractNumId w:val="148"/>
  </w:num>
  <w:num w:numId="140">
    <w:abstractNumId w:val="47"/>
  </w:num>
  <w:num w:numId="141">
    <w:abstractNumId w:val="132"/>
  </w:num>
  <w:num w:numId="142">
    <w:abstractNumId w:val="108"/>
  </w:num>
  <w:num w:numId="143">
    <w:abstractNumId w:val="93"/>
  </w:num>
  <w:num w:numId="144">
    <w:abstractNumId w:val="18"/>
  </w:num>
  <w:num w:numId="145">
    <w:abstractNumId w:val="106"/>
  </w:num>
  <w:num w:numId="146">
    <w:abstractNumId w:val="67"/>
  </w:num>
  <w:num w:numId="147">
    <w:abstractNumId w:val="159"/>
  </w:num>
  <w:num w:numId="148">
    <w:abstractNumId w:val="123"/>
  </w:num>
  <w:num w:numId="149">
    <w:abstractNumId w:val="76"/>
  </w:num>
  <w:num w:numId="150">
    <w:abstractNumId w:val="19"/>
  </w:num>
  <w:num w:numId="151">
    <w:abstractNumId w:val="96"/>
  </w:num>
  <w:num w:numId="152">
    <w:abstractNumId w:val="95"/>
  </w:num>
  <w:num w:numId="153">
    <w:abstractNumId w:val="39"/>
  </w:num>
  <w:num w:numId="154">
    <w:abstractNumId w:val="59"/>
  </w:num>
  <w:num w:numId="155">
    <w:abstractNumId w:val="50"/>
  </w:num>
  <w:num w:numId="156">
    <w:abstractNumId w:val="1"/>
  </w:num>
  <w:num w:numId="157">
    <w:abstractNumId w:val="58"/>
  </w:num>
  <w:num w:numId="158">
    <w:abstractNumId w:val="13"/>
  </w:num>
  <w:num w:numId="159">
    <w:abstractNumId w:val="119"/>
  </w:num>
  <w:num w:numId="160">
    <w:abstractNumId w:val="91"/>
  </w:num>
  <w:num w:numId="161">
    <w:abstractNumId w:val="85"/>
  </w:num>
  <w:num w:numId="162">
    <w:abstractNumId w:val="101"/>
  </w:num>
  <w:num w:numId="163">
    <w:abstractNumId w:val="77"/>
  </w:num>
  <w:num w:numId="164">
    <w:abstractNumId w:val="4"/>
  </w:num>
  <w:num w:numId="165">
    <w:abstractNumId w:val="139"/>
  </w:num>
  <w:num w:numId="166">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false"/>
  <w:bordersDoNotSurroundFooter w:val="false"/>
  <w:documentProtection w:formatting="1" w:enforcement="0"/>
  <w:defaultTabStop w:val="420"/>
  <w:evenAndOddHeaders w:val="true"/>
  <w:drawingGridHorizontalSpacing w:val="240"/>
  <w:drawingGridVerticalSpacing w:val="156"/>
  <w:displayHorizontalDrawingGridEvery w:val="1"/>
  <w:displayVerticalDrawingGridEvery w:val="1"/>
  <w:noPunctuationKerning w:val="true"/>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F3E52"/>
    <w:rsid w:val="008119A5"/>
    <w:rsid w:val="009D2C19"/>
    <w:rsid w:val="00BA4338"/>
    <w:rsid w:val="00D2700B"/>
    <w:rsid w:val="00DF2999"/>
    <w:rsid w:val="011D3E37"/>
    <w:rsid w:val="013315FA"/>
    <w:rsid w:val="0156663B"/>
    <w:rsid w:val="01792EB6"/>
    <w:rsid w:val="01843193"/>
    <w:rsid w:val="01BE2B8B"/>
    <w:rsid w:val="01FF582F"/>
    <w:rsid w:val="0204176F"/>
    <w:rsid w:val="023924C7"/>
    <w:rsid w:val="023F35C3"/>
    <w:rsid w:val="024B0244"/>
    <w:rsid w:val="02A93445"/>
    <w:rsid w:val="02F41216"/>
    <w:rsid w:val="030D42D0"/>
    <w:rsid w:val="03166A80"/>
    <w:rsid w:val="03200A9D"/>
    <w:rsid w:val="035A410E"/>
    <w:rsid w:val="036C714F"/>
    <w:rsid w:val="03874055"/>
    <w:rsid w:val="03B43C84"/>
    <w:rsid w:val="03DD1DDB"/>
    <w:rsid w:val="04363C74"/>
    <w:rsid w:val="045A1A2F"/>
    <w:rsid w:val="046B6036"/>
    <w:rsid w:val="049A1E5B"/>
    <w:rsid w:val="04A72753"/>
    <w:rsid w:val="04B72F23"/>
    <w:rsid w:val="051641A8"/>
    <w:rsid w:val="0556123F"/>
    <w:rsid w:val="056C4297"/>
    <w:rsid w:val="058E03AB"/>
    <w:rsid w:val="05C31407"/>
    <w:rsid w:val="05F760D1"/>
    <w:rsid w:val="064A7F61"/>
    <w:rsid w:val="066D606C"/>
    <w:rsid w:val="06730AEF"/>
    <w:rsid w:val="06787760"/>
    <w:rsid w:val="06B14D59"/>
    <w:rsid w:val="06D70718"/>
    <w:rsid w:val="06D71F48"/>
    <w:rsid w:val="06E23BD7"/>
    <w:rsid w:val="07877964"/>
    <w:rsid w:val="079546B4"/>
    <w:rsid w:val="079E330B"/>
    <w:rsid w:val="07A02369"/>
    <w:rsid w:val="07A80DC9"/>
    <w:rsid w:val="07B1381C"/>
    <w:rsid w:val="07B377BA"/>
    <w:rsid w:val="082362B3"/>
    <w:rsid w:val="086B4E51"/>
    <w:rsid w:val="08C25821"/>
    <w:rsid w:val="08FE0576"/>
    <w:rsid w:val="097F6B5B"/>
    <w:rsid w:val="09DF6BE0"/>
    <w:rsid w:val="09E2501D"/>
    <w:rsid w:val="0A65526E"/>
    <w:rsid w:val="0A6B1CAD"/>
    <w:rsid w:val="0A6B6E27"/>
    <w:rsid w:val="0ACB1645"/>
    <w:rsid w:val="0B220056"/>
    <w:rsid w:val="0B6909A6"/>
    <w:rsid w:val="0B892498"/>
    <w:rsid w:val="0BD90B48"/>
    <w:rsid w:val="0C6F31EE"/>
    <w:rsid w:val="0C993CEE"/>
    <w:rsid w:val="0CA07D6C"/>
    <w:rsid w:val="0CD90147"/>
    <w:rsid w:val="0CE82A74"/>
    <w:rsid w:val="0CF20B6B"/>
    <w:rsid w:val="0D2F66EB"/>
    <w:rsid w:val="0D591E65"/>
    <w:rsid w:val="0DD24FF3"/>
    <w:rsid w:val="0DEA4DCC"/>
    <w:rsid w:val="0DFC0BDF"/>
    <w:rsid w:val="0E0E2890"/>
    <w:rsid w:val="0E28183E"/>
    <w:rsid w:val="0EA17691"/>
    <w:rsid w:val="0EB603D2"/>
    <w:rsid w:val="0ED14A0E"/>
    <w:rsid w:val="0EFA18E1"/>
    <w:rsid w:val="0F1174B9"/>
    <w:rsid w:val="0F321008"/>
    <w:rsid w:val="0F3A78AE"/>
    <w:rsid w:val="0F3E5E26"/>
    <w:rsid w:val="0F5A2166"/>
    <w:rsid w:val="10050B7B"/>
    <w:rsid w:val="1024156B"/>
    <w:rsid w:val="104A1E2E"/>
    <w:rsid w:val="105D6591"/>
    <w:rsid w:val="10624071"/>
    <w:rsid w:val="1084585B"/>
    <w:rsid w:val="10A704FB"/>
    <w:rsid w:val="10B24869"/>
    <w:rsid w:val="1111713D"/>
    <w:rsid w:val="113B6CB1"/>
    <w:rsid w:val="11790F1A"/>
    <w:rsid w:val="11AD0913"/>
    <w:rsid w:val="122B7892"/>
    <w:rsid w:val="129A0991"/>
    <w:rsid w:val="12AA26B9"/>
    <w:rsid w:val="131A5927"/>
    <w:rsid w:val="13516FD6"/>
    <w:rsid w:val="13815DF5"/>
    <w:rsid w:val="1383713E"/>
    <w:rsid w:val="13AC1281"/>
    <w:rsid w:val="13B53C12"/>
    <w:rsid w:val="13C668FF"/>
    <w:rsid w:val="14220EA0"/>
    <w:rsid w:val="1444264D"/>
    <w:rsid w:val="1475186E"/>
    <w:rsid w:val="148B2D36"/>
    <w:rsid w:val="14990E22"/>
    <w:rsid w:val="149E29B2"/>
    <w:rsid w:val="14B07452"/>
    <w:rsid w:val="14DE76E1"/>
    <w:rsid w:val="14FE5FD6"/>
    <w:rsid w:val="15181309"/>
    <w:rsid w:val="156225D6"/>
    <w:rsid w:val="15A65028"/>
    <w:rsid w:val="15C42C9B"/>
    <w:rsid w:val="15CE20F1"/>
    <w:rsid w:val="16211035"/>
    <w:rsid w:val="162C224C"/>
    <w:rsid w:val="16345CF6"/>
    <w:rsid w:val="163622C1"/>
    <w:rsid w:val="16406C16"/>
    <w:rsid w:val="164121F8"/>
    <w:rsid w:val="167A09B1"/>
    <w:rsid w:val="168A47A6"/>
    <w:rsid w:val="168C2834"/>
    <w:rsid w:val="16A556B2"/>
    <w:rsid w:val="16AC30D0"/>
    <w:rsid w:val="16D04A56"/>
    <w:rsid w:val="17040F27"/>
    <w:rsid w:val="171C472F"/>
    <w:rsid w:val="1722455A"/>
    <w:rsid w:val="172E127F"/>
    <w:rsid w:val="17321E66"/>
    <w:rsid w:val="177D490C"/>
    <w:rsid w:val="17DF013E"/>
    <w:rsid w:val="180E49D6"/>
    <w:rsid w:val="18154E9D"/>
    <w:rsid w:val="18430804"/>
    <w:rsid w:val="184F1631"/>
    <w:rsid w:val="18567AB0"/>
    <w:rsid w:val="185728A2"/>
    <w:rsid w:val="18AF473D"/>
    <w:rsid w:val="18B64F4F"/>
    <w:rsid w:val="18D00D9F"/>
    <w:rsid w:val="18D94AB8"/>
    <w:rsid w:val="1916537B"/>
    <w:rsid w:val="193919B2"/>
    <w:rsid w:val="19583C66"/>
    <w:rsid w:val="195E0F3B"/>
    <w:rsid w:val="19710433"/>
    <w:rsid w:val="19A44255"/>
    <w:rsid w:val="19BF45DE"/>
    <w:rsid w:val="1A0B68AE"/>
    <w:rsid w:val="1A1C3926"/>
    <w:rsid w:val="1B216DE9"/>
    <w:rsid w:val="1B4A644C"/>
    <w:rsid w:val="1B574E17"/>
    <w:rsid w:val="1B5A10FE"/>
    <w:rsid w:val="1BCA6EF5"/>
    <w:rsid w:val="1C191710"/>
    <w:rsid w:val="1C4A3A36"/>
    <w:rsid w:val="1C7936F9"/>
    <w:rsid w:val="1C84517C"/>
    <w:rsid w:val="1D047F14"/>
    <w:rsid w:val="1D0A78E9"/>
    <w:rsid w:val="1D5D1E6E"/>
    <w:rsid w:val="1D701288"/>
    <w:rsid w:val="1D712DE0"/>
    <w:rsid w:val="1D7C3285"/>
    <w:rsid w:val="1DD13B7B"/>
    <w:rsid w:val="1DE63DB0"/>
    <w:rsid w:val="1DE822E5"/>
    <w:rsid w:val="1EA42FEF"/>
    <w:rsid w:val="1EA578AF"/>
    <w:rsid w:val="1EBB4885"/>
    <w:rsid w:val="1EE70B51"/>
    <w:rsid w:val="1F1B463E"/>
    <w:rsid w:val="1F1D7FAE"/>
    <w:rsid w:val="1F6B771A"/>
    <w:rsid w:val="1F7102FE"/>
    <w:rsid w:val="1F765186"/>
    <w:rsid w:val="1F9B3335"/>
    <w:rsid w:val="1FA47745"/>
    <w:rsid w:val="1FE63D69"/>
    <w:rsid w:val="1FF022B9"/>
    <w:rsid w:val="2000044C"/>
    <w:rsid w:val="20344919"/>
    <w:rsid w:val="21335154"/>
    <w:rsid w:val="21404B09"/>
    <w:rsid w:val="21FD4B0B"/>
    <w:rsid w:val="220032D5"/>
    <w:rsid w:val="229F5532"/>
    <w:rsid w:val="22C80099"/>
    <w:rsid w:val="22D21C70"/>
    <w:rsid w:val="23127350"/>
    <w:rsid w:val="232354F8"/>
    <w:rsid w:val="233D7C9F"/>
    <w:rsid w:val="234D76AA"/>
    <w:rsid w:val="236E5EF9"/>
    <w:rsid w:val="239A42DF"/>
    <w:rsid w:val="23D70374"/>
    <w:rsid w:val="23FB1C3C"/>
    <w:rsid w:val="24232880"/>
    <w:rsid w:val="242F4D92"/>
    <w:rsid w:val="245C6E07"/>
    <w:rsid w:val="247544CD"/>
    <w:rsid w:val="249A49F4"/>
    <w:rsid w:val="25250CD3"/>
    <w:rsid w:val="256616E5"/>
    <w:rsid w:val="258472A9"/>
    <w:rsid w:val="25961797"/>
    <w:rsid w:val="265E6DC7"/>
    <w:rsid w:val="26993A00"/>
    <w:rsid w:val="26A80833"/>
    <w:rsid w:val="26C67EF2"/>
    <w:rsid w:val="27062E1E"/>
    <w:rsid w:val="271516E6"/>
    <w:rsid w:val="27197985"/>
    <w:rsid w:val="272A1E74"/>
    <w:rsid w:val="272A7EEE"/>
    <w:rsid w:val="27964A41"/>
    <w:rsid w:val="27DD799C"/>
    <w:rsid w:val="27E51941"/>
    <w:rsid w:val="281753A8"/>
    <w:rsid w:val="28544CBF"/>
    <w:rsid w:val="29360100"/>
    <w:rsid w:val="293F4316"/>
    <w:rsid w:val="29850EAF"/>
    <w:rsid w:val="29856550"/>
    <w:rsid w:val="298E377D"/>
    <w:rsid w:val="2A3B4ADC"/>
    <w:rsid w:val="2A415D9C"/>
    <w:rsid w:val="2A4A2893"/>
    <w:rsid w:val="2A7212B5"/>
    <w:rsid w:val="2A7965DF"/>
    <w:rsid w:val="2A8E26C9"/>
    <w:rsid w:val="2AF14EF6"/>
    <w:rsid w:val="2B0A4F67"/>
    <w:rsid w:val="2B19267D"/>
    <w:rsid w:val="2B4275F3"/>
    <w:rsid w:val="2B481CAB"/>
    <w:rsid w:val="2B573BFD"/>
    <w:rsid w:val="2C0D52EA"/>
    <w:rsid w:val="2C95374A"/>
    <w:rsid w:val="2CE248AB"/>
    <w:rsid w:val="2D031AB6"/>
    <w:rsid w:val="2D746BF2"/>
    <w:rsid w:val="2D7F431B"/>
    <w:rsid w:val="2E00269A"/>
    <w:rsid w:val="2E01341C"/>
    <w:rsid w:val="2E3015A2"/>
    <w:rsid w:val="2E3D4FE8"/>
    <w:rsid w:val="2E6F2FAD"/>
    <w:rsid w:val="2EAB399E"/>
    <w:rsid w:val="2EE63A64"/>
    <w:rsid w:val="2EFF1BAB"/>
    <w:rsid w:val="2F043F4D"/>
    <w:rsid w:val="2F347659"/>
    <w:rsid w:val="2F5F1C6A"/>
    <w:rsid w:val="2F610E9A"/>
    <w:rsid w:val="2F847118"/>
    <w:rsid w:val="2FBD61C3"/>
    <w:rsid w:val="2FC7711E"/>
    <w:rsid w:val="2FDF6A08"/>
    <w:rsid w:val="2FF22DB6"/>
    <w:rsid w:val="300A7567"/>
    <w:rsid w:val="30BF0A18"/>
    <w:rsid w:val="30F76F1B"/>
    <w:rsid w:val="3118459C"/>
    <w:rsid w:val="31574811"/>
    <w:rsid w:val="31EB392A"/>
    <w:rsid w:val="31EF143D"/>
    <w:rsid w:val="31FC4C39"/>
    <w:rsid w:val="32254C2F"/>
    <w:rsid w:val="324A54C2"/>
    <w:rsid w:val="3274058C"/>
    <w:rsid w:val="32863EB5"/>
    <w:rsid w:val="32FF0CEE"/>
    <w:rsid w:val="33785D7F"/>
    <w:rsid w:val="33AC403B"/>
    <w:rsid w:val="33C03E08"/>
    <w:rsid w:val="344A16D2"/>
    <w:rsid w:val="344A4E63"/>
    <w:rsid w:val="344E6B7F"/>
    <w:rsid w:val="347B6A0D"/>
    <w:rsid w:val="349245B7"/>
    <w:rsid w:val="34C722E4"/>
    <w:rsid w:val="34C80847"/>
    <w:rsid w:val="35223DED"/>
    <w:rsid w:val="355A0996"/>
    <w:rsid w:val="358624A7"/>
    <w:rsid w:val="35AE1CE9"/>
    <w:rsid w:val="35BB0F62"/>
    <w:rsid w:val="35F3259A"/>
    <w:rsid w:val="36245EB8"/>
    <w:rsid w:val="36304C59"/>
    <w:rsid w:val="36533A79"/>
    <w:rsid w:val="365C4352"/>
    <w:rsid w:val="372D3582"/>
    <w:rsid w:val="373D65C8"/>
    <w:rsid w:val="374A7EB4"/>
    <w:rsid w:val="379D0E25"/>
    <w:rsid w:val="3839597B"/>
    <w:rsid w:val="38810BAC"/>
    <w:rsid w:val="38A30F09"/>
    <w:rsid w:val="38CE48B5"/>
    <w:rsid w:val="39172911"/>
    <w:rsid w:val="3920106B"/>
    <w:rsid w:val="39247F05"/>
    <w:rsid w:val="3930280F"/>
    <w:rsid w:val="39C4481C"/>
    <w:rsid w:val="3A027EAA"/>
    <w:rsid w:val="3A286B66"/>
    <w:rsid w:val="3A310343"/>
    <w:rsid w:val="3A3F0834"/>
    <w:rsid w:val="3A4564A0"/>
    <w:rsid w:val="3A494434"/>
    <w:rsid w:val="3A6114C2"/>
    <w:rsid w:val="3A6F508F"/>
    <w:rsid w:val="3A8A63F3"/>
    <w:rsid w:val="3A9E40EE"/>
    <w:rsid w:val="3ACE4B87"/>
    <w:rsid w:val="3AD3012B"/>
    <w:rsid w:val="3AEF0EE2"/>
    <w:rsid w:val="3B100EA3"/>
    <w:rsid w:val="3BB62C43"/>
    <w:rsid w:val="3BBB4EB7"/>
    <w:rsid w:val="3BDD7751"/>
    <w:rsid w:val="3C006EBC"/>
    <w:rsid w:val="3C0966CA"/>
    <w:rsid w:val="3C2E08A3"/>
    <w:rsid w:val="3C2E3640"/>
    <w:rsid w:val="3C347D92"/>
    <w:rsid w:val="3C5E493B"/>
    <w:rsid w:val="3D42515B"/>
    <w:rsid w:val="3D9E6D60"/>
    <w:rsid w:val="3DA04690"/>
    <w:rsid w:val="3DDA5900"/>
    <w:rsid w:val="3E255612"/>
    <w:rsid w:val="3E9C53A3"/>
    <w:rsid w:val="3EB35F41"/>
    <w:rsid w:val="3EFC0B4F"/>
    <w:rsid w:val="3F3657DC"/>
    <w:rsid w:val="40053F62"/>
    <w:rsid w:val="400D5F34"/>
    <w:rsid w:val="401A47A1"/>
    <w:rsid w:val="402E3C66"/>
    <w:rsid w:val="40490938"/>
    <w:rsid w:val="40634C9F"/>
    <w:rsid w:val="408C36E6"/>
    <w:rsid w:val="4091295D"/>
    <w:rsid w:val="40A63070"/>
    <w:rsid w:val="41135719"/>
    <w:rsid w:val="415736C1"/>
    <w:rsid w:val="4167609D"/>
    <w:rsid w:val="41874D56"/>
    <w:rsid w:val="41AE395F"/>
    <w:rsid w:val="42B73F2D"/>
    <w:rsid w:val="42B9432A"/>
    <w:rsid w:val="42D478AD"/>
    <w:rsid w:val="42DB268A"/>
    <w:rsid w:val="43334E84"/>
    <w:rsid w:val="43D53ABE"/>
    <w:rsid w:val="43F95528"/>
    <w:rsid w:val="440B06C0"/>
    <w:rsid w:val="441E32C2"/>
    <w:rsid w:val="4475104D"/>
    <w:rsid w:val="457C4AE3"/>
    <w:rsid w:val="458132E5"/>
    <w:rsid w:val="45BE7009"/>
    <w:rsid w:val="46751FEC"/>
    <w:rsid w:val="467809E3"/>
    <w:rsid w:val="468E2FF0"/>
    <w:rsid w:val="469D55AD"/>
    <w:rsid w:val="46A948FF"/>
    <w:rsid w:val="46C26152"/>
    <w:rsid w:val="46EB52E0"/>
    <w:rsid w:val="471138BD"/>
    <w:rsid w:val="47321F77"/>
    <w:rsid w:val="47835D7C"/>
    <w:rsid w:val="47847988"/>
    <w:rsid w:val="479B1DB5"/>
    <w:rsid w:val="47A67EFB"/>
    <w:rsid w:val="48075627"/>
    <w:rsid w:val="480E3254"/>
    <w:rsid w:val="48346D6A"/>
    <w:rsid w:val="48F01FBA"/>
    <w:rsid w:val="490C5453"/>
    <w:rsid w:val="49360947"/>
    <w:rsid w:val="49C31F70"/>
    <w:rsid w:val="49C73F46"/>
    <w:rsid w:val="49C9625F"/>
    <w:rsid w:val="4A2D7355"/>
    <w:rsid w:val="4A811CF3"/>
    <w:rsid w:val="4AC616F8"/>
    <w:rsid w:val="4AF84957"/>
    <w:rsid w:val="4B4530B5"/>
    <w:rsid w:val="4B837451"/>
    <w:rsid w:val="4BCD18DE"/>
    <w:rsid w:val="4BDC453E"/>
    <w:rsid w:val="4C626510"/>
    <w:rsid w:val="4C6F6DBD"/>
    <w:rsid w:val="4CA55FF7"/>
    <w:rsid w:val="4CA61288"/>
    <w:rsid w:val="4CCE0333"/>
    <w:rsid w:val="4D5F344F"/>
    <w:rsid w:val="4D840AFE"/>
    <w:rsid w:val="4DBD687F"/>
    <w:rsid w:val="4DDC7FC3"/>
    <w:rsid w:val="4E3A3FD4"/>
    <w:rsid w:val="4E481AC1"/>
    <w:rsid w:val="4E4C3810"/>
    <w:rsid w:val="4E907893"/>
    <w:rsid w:val="4EE27F90"/>
    <w:rsid w:val="4EE50570"/>
    <w:rsid w:val="4F1C6605"/>
    <w:rsid w:val="4F564D40"/>
    <w:rsid w:val="4FB52465"/>
    <w:rsid w:val="4FCB2B31"/>
    <w:rsid w:val="4FF34DC7"/>
    <w:rsid w:val="500A532D"/>
    <w:rsid w:val="500E3F8A"/>
    <w:rsid w:val="50242463"/>
    <w:rsid w:val="50344BFC"/>
    <w:rsid w:val="503B23A2"/>
    <w:rsid w:val="504571C9"/>
    <w:rsid w:val="50643E33"/>
    <w:rsid w:val="507E7335"/>
    <w:rsid w:val="50E41392"/>
    <w:rsid w:val="51204CC1"/>
    <w:rsid w:val="51394366"/>
    <w:rsid w:val="51665FCD"/>
    <w:rsid w:val="51D237FF"/>
    <w:rsid w:val="51D9205C"/>
    <w:rsid w:val="51EF1380"/>
    <w:rsid w:val="51FD3AC8"/>
    <w:rsid w:val="525D7E0F"/>
    <w:rsid w:val="52775548"/>
    <w:rsid w:val="52C66324"/>
    <w:rsid w:val="5301357C"/>
    <w:rsid w:val="53063D5E"/>
    <w:rsid w:val="532337A3"/>
    <w:rsid w:val="532D2ACC"/>
    <w:rsid w:val="536528E8"/>
    <w:rsid w:val="53A545E0"/>
    <w:rsid w:val="53A76D07"/>
    <w:rsid w:val="53B9590F"/>
    <w:rsid w:val="53C0221F"/>
    <w:rsid w:val="53F807A3"/>
    <w:rsid w:val="54107011"/>
    <w:rsid w:val="542C088B"/>
    <w:rsid w:val="546275D3"/>
    <w:rsid w:val="54E843D0"/>
    <w:rsid w:val="550A3746"/>
    <w:rsid w:val="552F719F"/>
    <w:rsid w:val="55325E61"/>
    <w:rsid w:val="55501DBD"/>
    <w:rsid w:val="55A349FA"/>
    <w:rsid w:val="561E45FB"/>
    <w:rsid w:val="56D53DFA"/>
    <w:rsid w:val="5700780D"/>
    <w:rsid w:val="5770030A"/>
    <w:rsid w:val="57906BCB"/>
    <w:rsid w:val="579F57A5"/>
    <w:rsid w:val="57BD0682"/>
    <w:rsid w:val="57D11488"/>
    <w:rsid w:val="57E61984"/>
    <w:rsid w:val="5802445B"/>
    <w:rsid w:val="581447CC"/>
    <w:rsid w:val="5877391B"/>
    <w:rsid w:val="58B84D16"/>
    <w:rsid w:val="58FC69EA"/>
    <w:rsid w:val="59107BDC"/>
    <w:rsid w:val="591F06B0"/>
    <w:rsid w:val="59214F0A"/>
    <w:rsid w:val="59297706"/>
    <w:rsid w:val="5947124D"/>
    <w:rsid w:val="595E0CEA"/>
    <w:rsid w:val="5965461C"/>
    <w:rsid w:val="5977694F"/>
    <w:rsid w:val="59951416"/>
    <w:rsid w:val="59FC07E2"/>
    <w:rsid w:val="5A2C175B"/>
    <w:rsid w:val="5A615AFD"/>
    <w:rsid w:val="5AA94C04"/>
    <w:rsid w:val="5AD7667A"/>
    <w:rsid w:val="5B563B40"/>
    <w:rsid w:val="5B6E14BB"/>
    <w:rsid w:val="5BC70FF2"/>
    <w:rsid w:val="5BF75AC3"/>
    <w:rsid w:val="5C0A0BEA"/>
    <w:rsid w:val="5C317845"/>
    <w:rsid w:val="5C4203A9"/>
    <w:rsid w:val="5C5A3535"/>
    <w:rsid w:val="5C815A1F"/>
    <w:rsid w:val="5D520A3E"/>
    <w:rsid w:val="5D537011"/>
    <w:rsid w:val="5D857054"/>
    <w:rsid w:val="5D911632"/>
    <w:rsid w:val="5D986FFD"/>
    <w:rsid w:val="5DA9310C"/>
    <w:rsid w:val="5DCB08B8"/>
    <w:rsid w:val="5DD9540B"/>
    <w:rsid w:val="5E147E90"/>
    <w:rsid w:val="5E2E7F52"/>
    <w:rsid w:val="5E463E88"/>
    <w:rsid w:val="5E4E08DD"/>
    <w:rsid w:val="5E937E13"/>
    <w:rsid w:val="5E947DF6"/>
    <w:rsid w:val="5EA44C91"/>
    <w:rsid w:val="5EA513D7"/>
    <w:rsid w:val="5EB265DC"/>
    <w:rsid w:val="5ECA2749"/>
    <w:rsid w:val="5F3850F5"/>
    <w:rsid w:val="5F46798F"/>
    <w:rsid w:val="5F4F0D68"/>
    <w:rsid w:val="5F6D730A"/>
    <w:rsid w:val="60013662"/>
    <w:rsid w:val="60024881"/>
    <w:rsid w:val="600516D5"/>
    <w:rsid w:val="60107F61"/>
    <w:rsid w:val="605A2EDA"/>
    <w:rsid w:val="605A4649"/>
    <w:rsid w:val="605E445E"/>
    <w:rsid w:val="60672C01"/>
    <w:rsid w:val="60737F7D"/>
    <w:rsid w:val="60BB05A8"/>
    <w:rsid w:val="61695B30"/>
    <w:rsid w:val="617B10B7"/>
    <w:rsid w:val="61AA0897"/>
    <w:rsid w:val="620F58B9"/>
    <w:rsid w:val="621D683C"/>
    <w:rsid w:val="621E2849"/>
    <w:rsid w:val="62522BF9"/>
    <w:rsid w:val="626467D8"/>
    <w:rsid w:val="630633A9"/>
    <w:rsid w:val="6317509B"/>
    <w:rsid w:val="636C4406"/>
    <w:rsid w:val="63C142F5"/>
    <w:rsid w:val="641E12CE"/>
    <w:rsid w:val="64213210"/>
    <w:rsid w:val="64656C65"/>
    <w:rsid w:val="646D0BF2"/>
    <w:rsid w:val="64AD33F8"/>
    <w:rsid w:val="64C97319"/>
    <w:rsid w:val="651937C2"/>
    <w:rsid w:val="654638D6"/>
    <w:rsid w:val="654A7459"/>
    <w:rsid w:val="65744939"/>
    <w:rsid w:val="65B7219E"/>
    <w:rsid w:val="65BA5B31"/>
    <w:rsid w:val="65CA3FDA"/>
    <w:rsid w:val="662E7F5E"/>
    <w:rsid w:val="663D20F2"/>
    <w:rsid w:val="667C6101"/>
    <w:rsid w:val="66A4233F"/>
    <w:rsid w:val="66BE00EE"/>
    <w:rsid w:val="66ED79D7"/>
    <w:rsid w:val="67123F25"/>
    <w:rsid w:val="67291DDC"/>
    <w:rsid w:val="67394078"/>
    <w:rsid w:val="67516D5C"/>
    <w:rsid w:val="67696973"/>
    <w:rsid w:val="67985DA9"/>
    <w:rsid w:val="67B660D3"/>
    <w:rsid w:val="68815F09"/>
    <w:rsid w:val="68A47F5F"/>
    <w:rsid w:val="68B4265B"/>
    <w:rsid w:val="68FB0DD4"/>
    <w:rsid w:val="690A2AB9"/>
    <w:rsid w:val="691F1AC3"/>
    <w:rsid w:val="693A0B2A"/>
    <w:rsid w:val="694452FB"/>
    <w:rsid w:val="69480791"/>
    <w:rsid w:val="69841D06"/>
    <w:rsid w:val="69B01955"/>
    <w:rsid w:val="69C92BB1"/>
    <w:rsid w:val="69C97530"/>
    <w:rsid w:val="69EC6424"/>
    <w:rsid w:val="6ABB1E0E"/>
    <w:rsid w:val="6AE5266A"/>
    <w:rsid w:val="6B000DCE"/>
    <w:rsid w:val="6B836F4E"/>
    <w:rsid w:val="6C0A5E38"/>
    <w:rsid w:val="6C44161C"/>
    <w:rsid w:val="6C8A7A72"/>
    <w:rsid w:val="6C942040"/>
    <w:rsid w:val="6CAC1A6D"/>
    <w:rsid w:val="6D0853DB"/>
    <w:rsid w:val="6D183CC3"/>
    <w:rsid w:val="6D59109D"/>
    <w:rsid w:val="6D653EA2"/>
    <w:rsid w:val="6D96499E"/>
    <w:rsid w:val="6DED2D60"/>
    <w:rsid w:val="6DF31FB4"/>
    <w:rsid w:val="6E2B1DDF"/>
    <w:rsid w:val="6E442143"/>
    <w:rsid w:val="6E480169"/>
    <w:rsid w:val="6EAE1EAC"/>
    <w:rsid w:val="6EB21DC1"/>
    <w:rsid w:val="6F4D03CC"/>
    <w:rsid w:val="6F693658"/>
    <w:rsid w:val="6F9A0826"/>
    <w:rsid w:val="6FCA25F2"/>
    <w:rsid w:val="6FE230F4"/>
    <w:rsid w:val="6FF650D2"/>
    <w:rsid w:val="6FF7152D"/>
    <w:rsid w:val="700125EA"/>
    <w:rsid w:val="70177369"/>
    <w:rsid w:val="70442A5D"/>
    <w:rsid w:val="707E5585"/>
    <w:rsid w:val="70B97120"/>
    <w:rsid w:val="71022068"/>
    <w:rsid w:val="712B7F93"/>
    <w:rsid w:val="714D6EFC"/>
    <w:rsid w:val="71832D36"/>
    <w:rsid w:val="71AD3F8C"/>
    <w:rsid w:val="71BA0B25"/>
    <w:rsid w:val="71C42249"/>
    <w:rsid w:val="71E108DC"/>
    <w:rsid w:val="721F1C02"/>
    <w:rsid w:val="722E6E2C"/>
    <w:rsid w:val="726637B3"/>
    <w:rsid w:val="726D43C3"/>
    <w:rsid w:val="735438B4"/>
    <w:rsid w:val="73D037A3"/>
    <w:rsid w:val="73FC7C41"/>
    <w:rsid w:val="74400E44"/>
    <w:rsid w:val="7445441F"/>
    <w:rsid w:val="74D35A07"/>
    <w:rsid w:val="750C7B83"/>
    <w:rsid w:val="751C4B6D"/>
    <w:rsid w:val="75262673"/>
    <w:rsid w:val="752F69C0"/>
    <w:rsid w:val="754514D0"/>
    <w:rsid w:val="754664D9"/>
    <w:rsid w:val="75EC6047"/>
    <w:rsid w:val="75F86A18"/>
    <w:rsid w:val="76272781"/>
    <w:rsid w:val="765D14D2"/>
    <w:rsid w:val="765F159B"/>
    <w:rsid w:val="76AC4A63"/>
    <w:rsid w:val="76E3102A"/>
    <w:rsid w:val="76FB2863"/>
    <w:rsid w:val="773B4318"/>
    <w:rsid w:val="77A7411D"/>
    <w:rsid w:val="77E5696B"/>
    <w:rsid w:val="77F55843"/>
    <w:rsid w:val="78504484"/>
    <w:rsid w:val="785F5243"/>
    <w:rsid w:val="787840A8"/>
    <w:rsid w:val="788129F9"/>
    <w:rsid w:val="78CE77B7"/>
    <w:rsid w:val="78D15332"/>
    <w:rsid w:val="792707F9"/>
    <w:rsid w:val="792E0EE0"/>
    <w:rsid w:val="798E1264"/>
    <w:rsid w:val="79980AC5"/>
    <w:rsid w:val="79B41C28"/>
    <w:rsid w:val="79D13DF8"/>
    <w:rsid w:val="79E91134"/>
    <w:rsid w:val="7A106BC3"/>
    <w:rsid w:val="7A1A588B"/>
    <w:rsid w:val="7A4D5006"/>
    <w:rsid w:val="7A577444"/>
    <w:rsid w:val="7A577A7A"/>
    <w:rsid w:val="7A8B70C2"/>
    <w:rsid w:val="7B154E1C"/>
    <w:rsid w:val="7B7A683D"/>
    <w:rsid w:val="7B843D35"/>
    <w:rsid w:val="7B892ED4"/>
    <w:rsid w:val="7B9D438D"/>
    <w:rsid w:val="7BAE3626"/>
    <w:rsid w:val="7BCD1F43"/>
    <w:rsid w:val="7C1C61E6"/>
    <w:rsid w:val="7C6636D2"/>
    <w:rsid w:val="7C6D0FE7"/>
    <w:rsid w:val="7C7465E7"/>
    <w:rsid w:val="7C8355F1"/>
    <w:rsid w:val="7C8E7766"/>
    <w:rsid w:val="7CA06296"/>
    <w:rsid w:val="7CB41B3F"/>
    <w:rsid w:val="7CB97B13"/>
    <w:rsid w:val="7CC53D1A"/>
    <w:rsid w:val="7D175024"/>
    <w:rsid w:val="7D1A5883"/>
    <w:rsid w:val="7D590838"/>
    <w:rsid w:val="7D614491"/>
    <w:rsid w:val="7DB52319"/>
    <w:rsid w:val="7DF335AF"/>
    <w:rsid w:val="7E0D0D0A"/>
    <w:rsid w:val="7E1C4474"/>
    <w:rsid w:val="7E4859B6"/>
    <w:rsid w:val="7E5B50B2"/>
    <w:rsid w:val="7E5F7A44"/>
    <w:rsid w:val="7E65089D"/>
    <w:rsid w:val="7E8909FA"/>
    <w:rsid w:val="7EE55D80"/>
    <w:rsid w:val="7F630B0D"/>
    <w:rsid w:val="B7FF7B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240" w:lineRule="auto"/>
    </w:pPr>
    <w:rPr>
      <w:rFonts w:ascii="Times New Roman" w:hAnsi="Times New Roman" w:eastAsia="宋体" w:cstheme="minorBidi"/>
      <w:kern w:val="2"/>
      <w:sz w:val="21"/>
      <w:szCs w:val="21"/>
      <w:lang w:val="en-US" w:eastAsia="zh-CN" w:bidi="ar-SA"/>
    </w:rPr>
  </w:style>
  <w:style w:type="paragraph" w:styleId="2">
    <w:name w:val="heading 1"/>
    <w:basedOn w:val="1"/>
    <w:next w:val="1"/>
    <w:qFormat/>
    <w:uiPriority w:val="0"/>
    <w:pPr>
      <w:keepNext/>
      <w:keepLines/>
      <w:spacing w:before="340" w:after="330"/>
      <w:jc w:val="center"/>
      <w:outlineLvl w:val="0"/>
    </w:pPr>
    <w:rPr>
      <w:rFonts w:ascii="Times New Roman" w:hAnsi="Times New Roman" w:eastAsia="宋体"/>
      <w:b/>
      <w:kern w:val="44"/>
      <w:sz w:val="28"/>
    </w:rPr>
  </w:style>
  <w:style w:type="paragraph" w:styleId="3">
    <w:name w:val="heading 2"/>
    <w:basedOn w:val="2"/>
    <w:next w:val="1"/>
    <w:unhideWhenUsed/>
    <w:qFormat/>
    <w:uiPriority w:val="0"/>
    <w:pPr>
      <w:spacing w:before="260" w:after="260"/>
      <w:outlineLvl w:val="1"/>
    </w:pPr>
    <w:rPr>
      <w:rFonts w:ascii="Times New Roman" w:hAnsi="Times New Roman" w:eastAsia="黑体" w:cs="Times New Roman"/>
      <w:b w:val="0"/>
      <w:sz w:val="21"/>
      <w:szCs w:val="32"/>
    </w:rPr>
  </w:style>
  <w:style w:type="paragraph" w:styleId="4">
    <w:name w:val="heading 3"/>
    <w:basedOn w:val="1"/>
    <w:next w:val="1"/>
    <w:link w:val="33"/>
    <w:unhideWhenUsed/>
    <w:qFormat/>
    <w:uiPriority w:val="0"/>
    <w:pPr>
      <w:keepNext/>
      <w:keepLines/>
      <w:spacing w:before="260" w:after="260" w:line="413" w:lineRule="auto"/>
      <w:jc w:val="center"/>
      <w:outlineLvl w:val="2"/>
    </w:pPr>
    <w:rPr>
      <w:sz w:val="28"/>
    </w:rPr>
  </w:style>
  <w:style w:type="paragraph" w:styleId="5">
    <w:name w:val="heading 4"/>
    <w:basedOn w:val="1"/>
    <w:next w:val="1"/>
    <w:unhideWhenUsed/>
    <w:qFormat/>
    <w:uiPriority w:val="0"/>
    <w:pPr>
      <w:numPr>
        <w:ilvl w:val="0"/>
        <w:numId w:val="1"/>
      </w:numPr>
      <w:tabs>
        <w:tab w:val="decimal" w:pos="220"/>
      </w:tabs>
      <w:ind w:firstLineChars="0"/>
      <w:outlineLvl w:val="3"/>
    </w:pPr>
    <w:rPr>
      <w:rFonts w:eastAsiaTheme="majorEastAsia" w:cstheme="majorBidi"/>
      <w:bCs/>
      <w:szCs w:val="28"/>
    </w:rPr>
  </w:style>
  <w:style w:type="paragraph" w:styleId="6">
    <w:name w:val="heading 5"/>
    <w:basedOn w:val="1"/>
    <w:next w:val="1"/>
    <w:unhideWhenUsed/>
    <w:qFormat/>
    <w:uiPriority w:val="0"/>
    <w:pPr>
      <w:keepNext/>
      <w:keepLines/>
      <w:spacing w:before="280" w:beforeLines="0" w:beforeAutospacing="0" w:after="290" w:afterLines="0" w:afterAutospacing="0" w:line="372" w:lineRule="auto"/>
      <w:outlineLvl w:val="4"/>
    </w:pPr>
    <w:rPr>
      <w:b/>
      <w:sz w:val="28"/>
    </w:rPr>
  </w:style>
  <w:style w:type="character" w:default="1" w:styleId="17">
    <w:name w:val="Default Paragraph Font"/>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7">
    <w:name w:val="toa heading"/>
    <w:basedOn w:val="1"/>
    <w:next w:val="1"/>
    <w:qFormat/>
    <w:uiPriority w:val="0"/>
    <w:rPr>
      <w:rFonts w:ascii="Arial" w:hAnsi="Arial" w:eastAsia="Times New Roman"/>
      <w:color w:val="000000"/>
      <w:kern w:val="0"/>
      <w:szCs w:val="20"/>
      <w:lang w:eastAsia="en-US" w:bidi="en-US"/>
    </w:rPr>
  </w:style>
  <w:style w:type="paragraph" w:styleId="8">
    <w:name w:val="annotation text"/>
    <w:basedOn w:val="1"/>
    <w:qFormat/>
    <w:uiPriority w:val="0"/>
    <w:pPr>
      <w:jc w:val="left"/>
    </w:pPr>
  </w:style>
  <w:style w:type="paragraph" w:styleId="9">
    <w:name w:val="toc 3"/>
    <w:basedOn w:val="1"/>
    <w:next w:val="1"/>
    <w:qFormat/>
    <w:uiPriority w:val="0"/>
    <w:pPr>
      <w:ind w:left="840" w:leftChars="400"/>
    </w:pPr>
  </w:style>
  <w:style w:type="paragraph" w:styleId="10">
    <w:name w:val="footer"/>
    <w:basedOn w:val="1"/>
    <w:qFormat/>
    <w:uiPriority w:val="0"/>
    <w:pPr>
      <w:tabs>
        <w:tab w:val="center" w:pos="4153"/>
        <w:tab w:val="right" w:pos="8306"/>
      </w:tabs>
      <w:snapToGrid w:val="0"/>
      <w:spacing w:line="240" w:lineRule="auto"/>
    </w:pPr>
    <w:rPr>
      <w:sz w:val="18"/>
      <w:szCs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toc 1"/>
    <w:basedOn w:val="1"/>
    <w:next w:val="1"/>
    <w:qFormat/>
    <w:uiPriority w:val="0"/>
  </w:style>
  <w:style w:type="paragraph" w:styleId="13">
    <w:name w:val="Subtitle"/>
    <w:basedOn w:val="1"/>
    <w:next w:val="1"/>
    <w:qFormat/>
    <w:uiPriority w:val="0"/>
    <w:pPr>
      <w:spacing w:before="240" w:after="60" w:line="312" w:lineRule="auto"/>
      <w:jc w:val="center"/>
      <w:outlineLvl w:val="1"/>
    </w:pPr>
    <w:rPr>
      <w:rFonts w:ascii="Cambria" w:hAnsi="Cambria" w:eastAsia="黑体"/>
      <w:b/>
      <w:bCs/>
      <w:kern w:val="28"/>
      <w:sz w:val="20"/>
      <w:szCs w:val="32"/>
      <w:lang w:val="zh-CN"/>
    </w:rPr>
  </w:style>
  <w:style w:type="paragraph" w:styleId="14">
    <w:name w:val="toc 2"/>
    <w:basedOn w:val="1"/>
    <w:next w:val="1"/>
    <w:qFormat/>
    <w:uiPriority w:val="0"/>
    <w:pPr>
      <w:ind w:left="420" w:leftChars="200"/>
    </w:p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page number"/>
    <w:qFormat/>
    <w:uiPriority w:val="0"/>
  </w:style>
  <w:style w:type="character" w:styleId="19">
    <w:name w:val="Emphasis"/>
    <w:basedOn w:val="17"/>
    <w:qFormat/>
    <w:uiPriority w:val="0"/>
    <w:rPr>
      <w:i/>
    </w:rPr>
  </w:style>
  <w:style w:type="character" w:styleId="20">
    <w:name w:val="Hyperlink"/>
    <w:qFormat/>
    <w:uiPriority w:val="99"/>
    <w:rPr>
      <w:color w:val="2D6AA9"/>
      <w:u w:val="none"/>
    </w:rPr>
  </w:style>
  <w:style w:type="paragraph" w:customStyle="1" w:styleId="21">
    <w:name w:val="正文2"/>
    <w:basedOn w:val="1"/>
    <w:next w:val="1"/>
    <w:link w:val="29"/>
    <w:qFormat/>
    <w:uiPriority w:val="0"/>
    <w:pPr>
      <w:ind w:firstLine="562" w:firstLineChars="200"/>
    </w:pPr>
  </w:style>
  <w:style w:type="paragraph" w:customStyle="1" w:styleId="22">
    <w:name w:val="表格"/>
    <w:basedOn w:val="1"/>
    <w:qFormat/>
    <w:uiPriority w:val="0"/>
    <w:pPr>
      <w:spacing w:line="240" w:lineRule="auto"/>
      <w:jc w:val="center"/>
    </w:pPr>
    <w:rPr>
      <w:rFonts w:ascii="Times New Roman" w:hAnsi="Times New Roman" w:eastAsia="宋体"/>
      <w:sz w:val="15"/>
    </w:rPr>
  </w:style>
  <w:style w:type="paragraph" w:customStyle="1" w:styleId="23">
    <w:name w:val="表注1"/>
    <w:basedOn w:val="1"/>
    <w:qFormat/>
    <w:uiPriority w:val="0"/>
    <w:pPr>
      <w:ind w:left="0" w:leftChars="0" w:firstLine="562" w:firstLineChars="200"/>
    </w:pPr>
    <w:rPr>
      <w:rFonts w:ascii="Times New Roman" w:hAnsi="Times New Roman" w:eastAsia="宋体"/>
      <w:sz w:val="15"/>
    </w:rPr>
  </w:style>
  <w:style w:type="paragraph" w:customStyle="1" w:styleId="24">
    <w:name w:val="附图标题"/>
    <w:basedOn w:val="1"/>
    <w:next w:val="1"/>
    <w:qFormat/>
    <w:uiPriority w:val="0"/>
    <w:pPr>
      <w:jc w:val="center"/>
    </w:pPr>
    <w:rPr>
      <w:rFonts w:ascii="Times New Roman" w:hAnsi="Times New Roman" w:eastAsia="黑体"/>
      <w:sz w:val="18"/>
    </w:rPr>
  </w:style>
  <w:style w:type="paragraph" w:customStyle="1" w:styleId="25">
    <w:name w:val="附图注释"/>
    <w:basedOn w:val="24"/>
    <w:next w:val="1"/>
    <w:qFormat/>
    <w:uiPriority w:val="0"/>
    <w:pPr>
      <w:spacing w:line="360" w:lineRule="auto"/>
    </w:pPr>
    <w:rPr>
      <w:rFonts w:ascii="Times New Roman" w:hAnsi="Times New Roman" w:eastAsia="宋体"/>
      <w:sz w:val="18"/>
      <w:szCs w:val="18"/>
    </w:rPr>
  </w:style>
  <w:style w:type="character" w:customStyle="1" w:styleId="26">
    <w:name w:val="跨页条文索引 Char"/>
    <w:link w:val="27"/>
    <w:qFormat/>
    <w:uiPriority w:val="0"/>
    <w:rPr>
      <w:rFonts w:ascii="Times New Roman" w:hAnsi="Times New Roman"/>
      <w:u w:val="double" w:color="C00000"/>
    </w:rPr>
  </w:style>
  <w:style w:type="paragraph" w:customStyle="1" w:styleId="27">
    <w:name w:val="跨页条文索引（定稿时应重新核对）"/>
    <w:basedOn w:val="1"/>
    <w:link w:val="26"/>
    <w:qFormat/>
    <w:uiPriority w:val="0"/>
    <w:rPr>
      <w:rFonts w:ascii="Times New Roman" w:hAnsi="Times New Roman"/>
      <w:u w:val="double" w:color="C00000"/>
    </w:rPr>
  </w:style>
  <w:style w:type="paragraph" w:customStyle="1" w:styleId="28">
    <w:name w:val="正文3"/>
    <w:basedOn w:val="21"/>
    <w:qFormat/>
    <w:uiPriority w:val="0"/>
    <w:pPr>
      <w:ind w:left="1320" w:leftChars="350" w:hanging="480" w:hangingChars="150"/>
    </w:pPr>
    <w:rPr>
      <w:rFonts w:ascii="Times New Roman" w:hAnsi="Times New Roman"/>
    </w:rPr>
  </w:style>
  <w:style w:type="character" w:customStyle="1" w:styleId="29">
    <w:name w:val="正文2 Char"/>
    <w:link w:val="21"/>
    <w:qFormat/>
    <w:uiPriority w:val="0"/>
    <w:rPr>
      <w:rFonts w:eastAsia="宋体"/>
    </w:rPr>
  </w:style>
  <w:style w:type="paragraph" w:customStyle="1" w:styleId="30">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1">
    <w:name w:val="其他标准称谓"/>
    <w:basedOn w:val="30"/>
    <w:next w:val="30"/>
    <w:qFormat/>
    <w:uiPriority w:val="99"/>
    <w:rPr>
      <w:color w:val="auto"/>
    </w:rPr>
  </w:style>
  <w:style w:type="paragraph" w:customStyle="1" w:styleId="32">
    <w:name w:val="标准标志"/>
    <w:basedOn w:val="30"/>
    <w:next w:val="30"/>
    <w:qFormat/>
    <w:uiPriority w:val="99"/>
    <w:rPr>
      <w:color w:val="auto"/>
    </w:rPr>
  </w:style>
  <w:style w:type="character" w:customStyle="1" w:styleId="33">
    <w:name w:val="标题 3 字符"/>
    <w:link w:val="4"/>
    <w:qFormat/>
    <w:uiPriority w:val="0"/>
    <w:rPr>
      <w:rFonts w:eastAsia="宋体"/>
      <w:sz w:val="28"/>
    </w:rPr>
  </w:style>
  <w:style w:type="paragraph" w:customStyle="1" w:styleId="34">
    <w:name w:val="表格标题"/>
    <w:basedOn w:val="1"/>
    <w:link w:val="35"/>
    <w:qFormat/>
    <w:uiPriority w:val="0"/>
    <w:pPr>
      <w:jc w:val="center"/>
    </w:pPr>
    <w:rPr>
      <w:rFonts w:ascii="Times New Roman" w:hAnsi="Times New Roman" w:eastAsia="黑体"/>
      <w:sz w:val="18"/>
    </w:rPr>
  </w:style>
  <w:style w:type="character" w:customStyle="1" w:styleId="35">
    <w:name w:val="表格标题 Char"/>
    <w:link w:val="34"/>
    <w:qFormat/>
    <w:uiPriority w:val="0"/>
    <w:rPr>
      <w:rFonts w:ascii="Times New Roman" w:hAnsi="Times New Roman" w:eastAsia="黑体"/>
      <w:sz w:val="18"/>
    </w:rPr>
  </w:style>
  <w:style w:type="paragraph" w:customStyle="1" w:styleId="36">
    <w:name w:val="章"/>
    <w:basedOn w:val="1"/>
    <w:qFormat/>
    <w:uiPriority w:val="0"/>
    <w:pPr>
      <w:spacing w:before="100" w:beforeLines="100" w:after="100" w:afterLines="100" w:line="300" w:lineRule="auto"/>
      <w:jc w:val="center"/>
      <w:outlineLvl w:val="0"/>
    </w:pPr>
    <w:rPr>
      <w:b/>
      <w:bCs/>
      <w:sz w:val="28"/>
      <w:szCs w:val="28"/>
    </w:rPr>
  </w:style>
  <w:style w:type="paragraph" w:customStyle="1" w:styleId="37">
    <w:name w:val="条文"/>
    <w:basedOn w:val="1"/>
    <w:qFormat/>
    <w:uiPriority w:val="0"/>
    <w:pPr>
      <w:spacing w:line="300" w:lineRule="auto"/>
      <w:outlineLvl w:val="2"/>
    </w:pPr>
    <w:rPr>
      <w:sz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11.xml"/><Relationship Id="rId17" Type="http://schemas.openxmlformats.org/officeDocument/2006/relationships/footer" Target="footer10.xml"/><Relationship Id="rId16" Type="http://schemas.openxmlformats.org/officeDocument/2006/relationships/header" Target="header3.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header" Target="header2.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69</Pages>
  <Words>20594</Words>
  <Characters>22286</Characters>
  <Lines>0</Lines>
  <Paragraphs>0</Paragraphs>
  <TotalTime>11</TotalTime>
  <ScaleCrop>false</ScaleCrop>
  <LinksUpToDate>false</LinksUpToDate>
  <CharactersWithSpaces>22911</CharactersWithSpaces>
  <Application>WPS Office_11.8.2.10337_F1E327BC-269C-435d-A152-05C5408002CA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2021-04-24T03:58:00Z</dcterms:created>
  <dc:creator>maihu</dc:creator>
  <cp:lastModifiedBy>songyi</cp:lastModifiedBy>
  <cp:lastPrinted>2025-05-20T02:08:00Z</cp:lastPrinted>
  <dcterms:modified xsi:type="dcterms:W3CDTF">2026-07-06T11:34:45Z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2052-11.8.2.10337</vt:lpwstr>
  </property>
  <property fmtid="{D5CDD505-2E9C-101B-9397-08002B2CF9AE}" pid="3" name="KSOTemplateDocerSaveRecord">
    <vt:lpwstr>eyJoZGlkIjoiNzRhMzhiZWEwMjVkN2NhZTk3NWRkNzAyMTBiYzcxMmMiLCJ1c2VySWQiOiIxMzc2OTY2Mzg3In0=</vt:lpwstr>
  </property>
  <property fmtid="{D5CDD505-2E9C-101B-9397-08002B2CF9AE}" pid="4" name="ICV">
    <vt:lpwstr>D94025CA956D4375A14E3030A5DCA7C2_13</vt:lpwstr>
  </property>
</Properties>
</file>